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黄石市中心医院(中心院区)污水站清水池2台水泵更换项目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sz w:val="24"/>
                <w:lang w:val="en-US" w:eastAsia="zh-CN"/>
              </w:rPr>
              <w:t>污水站清水池2台水泵更换</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w:t>
            </w:r>
            <w:r>
              <w:rPr>
                <w:rFonts w:hint="eastAsia" w:ascii="宋体" w:hAnsi="宋体" w:cs="宋体"/>
                <w:color w:val="000000" w:themeColor="text1"/>
                <w:sz w:val="28"/>
                <w:szCs w:val="36"/>
                <w14:textFill>
                  <w14:solidFill>
                    <w14:schemeClr w14:val="tx1"/>
                  </w14:solidFill>
                </w14:textFill>
              </w:rPr>
              <w:t>202</w:t>
            </w:r>
            <w:r>
              <w:rPr>
                <w:rFonts w:hint="eastAsia" w:ascii="宋体" w:hAnsi="宋体" w:cs="宋体"/>
                <w:color w:val="000000" w:themeColor="text1"/>
                <w:sz w:val="28"/>
                <w:szCs w:val="36"/>
                <w:lang w:val="en-US" w:eastAsia="zh-CN"/>
                <w14:textFill>
                  <w14:solidFill>
                    <w14:schemeClr w14:val="tx1"/>
                  </w14:solidFill>
                </w14:textFill>
              </w:rPr>
              <w:t>4</w:t>
            </w:r>
            <w:r>
              <w:rPr>
                <w:rFonts w:hint="eastAsia" w:ascii="宋体" w:hAnsi="宋体" w:cs="宋体"/>
                <w:color w:val="000000" w:themeColor="text1"/>
                <w:sz w:val="28"/>
                <w:szCs w:val="36"/>
                <w14:textFill>
                  <w14:solidFill>
                    <w14:schemeClr w14:val="tx1"/>
                  </w14:solidFill>
                </w14:textFill>
              </w:rPr>
              <w:t>年</w:t>
            </w:r>
            <w:r>
              <w:rPr>
                <w:rFonts w:hint="eastAsia" w:ascii="宋体" w:hAnsi="宋体" w:cs="宋体"/>
                <w:color w:val="000000" w:themeColor="text1"/>
                <w:sz w:val="28"/>
                <w:szCs w:val="36"/>
                <w:lang w:val="en-US" w:eastAsia="zh-CN"/>
                <w14:textFill>
                  <w14:solidFill>
                    <w14:schemeClr w14:val="tx1"/>
                  </w14:solidFill>
                </w14:textFill>
              </w:rPr>
              <w:t>4</w:t>
            </w:r>
            <w:r>
              <w:rPr>
                <w:rFonts w:hint="eastAsia" w:ascii="宋体" w:hAnsi="宋体" w:cs="宋体"/>
                <w:color w:val="000000" w:themeColor="text1"/>
                <w:sz w:val="28"/>
                <w:szCs w:val="36"/>
                <w14:textFill>
                  <w14:solidFill>
                    <w14:schemeClr w14:val="tx1"/>
                  </w14:solidFill>
                </w14:textFill>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28925"/>
      <w:bookmarkStart w:id="1" w:name="_Toc120411791"/>
      <w:bookmarkStart w:id="2" w:name="_Toc535815709"/>
      <w:bookmarkStart w:id="3" w:name="_Toc535814464"/>
      <w:bookmarkStart w:id="4" w:name="_Toc136229088"/>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中心院区污水站清水池2台水泵更换项目以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黄石市中心医院(中心院区)污水站清水池2台水泵更换项目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color w:val="000000" w:themeColor="text1"/>
          <w:sz w:val="24"/>
          <w:lang w:val="en-US" w:eastAsia="zh-CN"/>
          <w14:textFill>
            <w14:solidFill>
              <w14:schemeClr w14:val="tx1"/>
            </w14:solidFill>
          </w14:textFill>
        </w:rPr>
        <w:t>11000元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4、数量：2台</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901"/>
        <w:gridCol w:w="1887"/>
        <w:gridCol w:w="641"/>
        <w:gridCol w:w="720"/>
        <w:gridCol w:w="936"/>
        <w:gridCol w:w="937"/>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序号</w:t>
            </w:r>
          </w:p>
        </w:tc>
        <w:tc>
          <w:tcPr>
            <w:tcW w:w="1593"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项目名称</w:t>
            </w:r>
          </w:p>
        </w:tc>
        <w:tc>
          <w:tcPr>
            <w:tcW w:w="1038"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设备参数</w:t>
            </w:r>
          </w:p>
        </w:tc>
        <w:tc>
          <w:tcPr>
            <w:tcW w:w="356"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单位</w:t>
            </w:r>
          </w:p>
        </w:tc>
        <w:tc>
          <w:tcPr>
            <w:tcW w:w="399"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数量</w:t>
            </w:r>
          </w:p>
        </w:tc>
        <w:tc>
          <w:tcPr>
            <w:tcW w:w="485"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单价</w:t>
            </w:r>
          </w:p>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（元）</w:t>
            </w:r>
          </w:p>
        </w:tc>
        <w:tc>
          <w:tcPr>
            <w:tcW w:w="511"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合计</w:t>
            </w:r>
          </w:p>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（元）</w:t>
            </w:r>
          </w:p>
        </w:tc>
        <w:tc>
          <w:tcPr>
            <w:tcW w:w="279"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336" w:type="pct"/>
            <w:vAlign w:val="center"/>
          </w:tcPr>
          <w:p>
            <w:pPr>
              <w:adjustRightInd w:val="0"/>
              <w:snapToGrid w:val="0"/>
              <w:spacing w:line="300" w:lineRule="exact"/>
              <w:jc w:val="center"/>
              <w:rPr>
                <w:rFonts w:hint="eastAsia" w:ascii="宋体" w:hAnsi="宋体" w:cs="宋体"/>
                <w:sz w:val="24"/>
                <w:szCs w:val="24"/>
              </w:rPr>
            </w:pPr>
            <w:r>
              <w:rPr>
                <w:rFonts w:hint="eastAsia" w:ascii="宋体" w:hAnsi="宋体" w:cs="宋体"/>
                <w:sz w:val="24"/>
                <w:szCs w:val="24"/>
              </w:rPr>
              <w:t>1</w:t>
            </w:r>
          </w:p>
        </w:tc>
        <w:tc>
          <w:tcPr>
            <w:tcW w:w="1593"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2台水泵</w:t>
            </w:r>
          </w:p>
        </w:tc>
        <w:tc>
          <w:tcPr>
            <w:tcW w:w="1038" w:type="pct"/>
            <w:vAlign w:val="center"/>
          </w:tcPr>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口径</w:t>
            </w:r>
            <w:r>
              <w:rPr>
                <w:rFonts w:hint="eastAsia" w:ascii="宋体" w:hAnsi="宋体" w:cs="宋体"/>
                <w:sz w:val="24"/>
                <w:szCs w:val="24"/>
                <w:lang w:val="en-US" w:eastAsia="zh-CN"/>
              </w:rPr>
              <w:t>：</w:t>
            </w:r>
            <w:r>
              <w:rPr>
                <w:rFonts w:hint="default" w:ascii="宋体" w:hAnsi="宋体" w:cs="宋体"/>
                <w:sz w:val="24"/>
                <w:szCs w:val="24"/>
                <w:lang w:val="en-US" w:eastAsia="zh-CN"/>
              </w:rPr>
              <w:t>100mm</w:t>
            </w:r>
          </w:p>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流量</w:t>
            </w:r>
            <w:r>
              <w:rPr>
                <w:rFonts w:hint="eastAsia" w:ascii="宋体" w:hAnsi="宋体" w:cs="宋体"/>
                <w:sz w:val="24"/>
                <w:szCs w:val="24"/>
                <w:lang w:val="en-US" w:eastAsia="zh-CN"/>
              </w:rPr>
              <w:t>：</w:t>
            </w:r>
            <w:r>
              <w:rPr>
                <w:rFonts w:hint="default" w:ascii="宋体" w:hAnsi="宋体" w:cs="宋体"/>
                <w:sz w:val="24"/>
                <w:szCs w:val="24"/>
                <w:lang w:val="en-US" w:eastAsia="zh-CN"/>
              </w:rPr>
              <w:t>≥60m³/h</w:t>
            </w:r>
          </w:p>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扬程</w:t>
            </w:r>
            <w:r>
              <w:rPr>
                <w:rFonts w:hint="eastAsia" w:ascii="宋体" w:hAnsi="宋体" w:cs="宋体"/>
                <w:sz w:val="24"/>
                <w:szCs w:val="24"/>
                <w:lang w:val="en-US" w:eastAsia="zh-CN"/>
              </w:rPr>
              <w:t>：</w:t>
            </w:r>
            <w:r>
              <w:rPr>
                <w:rFonts w:hint="default" w:ascii="宋体" w:hAnsi="宋体" w:cs="宋体"/>
                <w:sz w:val="24"/>
                <w:szCs w:val="24"/>
                <w:lang w:val="en-US" w:eastAsia="zh-CN"/>
              </w:rPr>
              <w:t>≥10米</w:t>
            </w:r>
          </w:p>
          <w:p>
            <w:pPr>
              <w:adjustRightInd w:val="0"/>
              <w:snapToGrid w:val="0"/>
              <w:spacing w:line="300" w:lineRule="exact"/>
              <w:jc w:val="center"/>
              <w:rPr>
                <w:rFonts w:hint="default" w:ascii="宋体" w:hAnsi="宋体" w:cs="宋体"/>
                <w:sz w:val="24"/>
                <w:szCs w:val="24"/>
                <w:lang w:val="en-US" w:eastAsia="zh-CN"/>
              </w:rPr>
            </w:pPr>
          </w:p>
        </w:tc>
        <w:tc>
          <w:tcPr>
            <w:tcW w:w="356" w:type="pct"/>
            <w:vAlign w:val="center"/>
          </w:tcPr>
          <w:p>
            <w:pPr>
              <w:adjustRightInd w:val="0"/>
              <w:snapToGrid w:val="0"/>
              <w:spacing w:line="30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台</w:t>
            </w:r>
          </w:p>
        </w:tc>
        <w:tc>
          <w:tcPr>
            <w:tcW w:w="399" w:type="pct"/>
            <w:vAlign w:val="center"/>
          </w:tcPr>
          <w:p>
            <w:pPr>
              <w:adjustRightInd w:val="0"/>
              <w:snapToGrid w:val="0"/>
              <w:spacing w:line="300" w:lineRule="exact"/>
              <w:jc w:val="center"/>
              <w:rPr>
                <w:rFonts w:hint="eastAsia" w:ascii="宋体" w:hAnsi="宋体" w:cs="宋体"/>
                <w:sz w:val="24"/>
                <w:szCs w:val="24"/>
                <w:lang w:val="en-US" w:eastAsia="zh-CN"/>
              </w:rPr>
            </w:pPr>
            <w:r>
              <w:rPr>
                <w:rFonts w:hint="eastAsia" w:ascii="宋体" w:hAnsi="宋体" w:cs="宋体"/>
                <w:sz w:val="24"/>
                <w:szCs w:val="24"/>
                <w:lang w:val="en-US" w:eastAsia="zh-CN"/>
              </w:rPr>
              <w:t>2</w:t>
            </w:r>
          </w:p>
        </w:tc>
        <w:tc>
          <w:tcPr>
            <w:tcW w:w="485" w:type="pct"/>
            <w:vAlign w:val="center"/>
          </w:tcPr>
          <w:p>
            <w:pPr>
              <w:adjustRightInd w:val="0"/>
              <w:snapToGrid w:val="0"/>
              <w:spacing w:line="300" w:lineRule="exact"/>
              <w:jc w:val="center"/>
              <w:rPr>
                <w:rFonts w:hint="eastAsia" w:ascii="宋体" w:hAnsi="宋体" w:cs="宋体"/>
                <w:sz w:val="24"/>
                <w:szCs w:val="24"/>
                <w:lang w:val="en-US" w:eastAsia="zh-CN"/>
              </w:rPr>
            </w:pPr>
          </w:p>
        </w:tc>
        <w:tc>
          <w:tcPr>
            <w:tcW w:w="511" w:type="pct"/>
            <w:vAlign w:val="center"/>
          </w:tcPr>
          <w:p>
            <w:pPr>
              <w:adjustRightInd w:val="0"/>
              <w:snapToGrid w:val="0"/>
              <w:spacing w:line="300" w:lineRule="exact"/>
              <w:jc w:val="center"/>
              <w:rPr>
                <w:rFonts w:hint="eastAsia" w:ascii="宋体" w:hAnsi="宋体" w:cs="宋体"/>
                <w:sz w:val="24"/>
                <w:szCs w:val="24"/>
              </w:rPr>
            </w:pPr>
          </w:p>
        </w:tc>
        <w:tc>
          <w:tcPr>
            <w:tcW w:w="279" w:type="pct"/>
            <w:vAlign w:val="center"/>
          </w:tcPr>
          <w:p>
            <w:pPr>
              <w:adjustRightInd w:val="0"/>
              <w:snapToGrid w:val="0"/>
              <w:spacing w:line="3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36"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1593"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安装调试</w:t>
            </w:r>
          </w:p>
        </w:tc>
        <w:tc>
          <w:tcPr>
            <w:tcW w:w="1038"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w:t>
            </w:r>
          </w:p>
        </w:tc>
        <w:tc>
          <w:tcPr>
            <w:tcW w:w="356"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次</w:t>
            </w:r>
          </w:p>
        </w:tc>
        <w:tc>
          <w:tcPr>
            <w:tcW w:w="399" w:type="pct"/>
            <w:vAlign w:val="center"/>
          </w:tcPr>
          <w:p>
            <w:pPr>
              <w:adjustRightInd w:val="0"/>
              <w:snapToGrid w:val="0"/>
              <w:spacing w:line="30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1</w:t>
            </w:r>
          </w:p>
        </w:tc>
        <w:tc>
          <w:tcPr>
            <w:tcW w:w="485" w:type="pct"/>
            <w:vAlign w:val="center"/>
          </w:tcPr>
          <w:p>
            <w:pPr>
              <w:adjustRightInd w:val="0"/>
              <w:snapToGrid w:val="0"/>
              <w:spacing w:line="300" w:lineRule="exact"/>
              <w:jc w:val="center"/>
              <w:rPr>
                <w:rFonts w:hint="eastAsia" w:ascii="宋体" w:hAnsi="宋体" w:cs="宋体"/>
                <w:sz w:val="24"/>
                <w:szCs w:val="24"/>
                <w:lang w:val="en-US" w:eastAsia="zh-CN"/>
              </w:rPr>
            </w:pPr>
          </w:p>
        </w:tc>
        <w:tc>
          <w:tcPr>
            <w:tcW w:w="511" w:type="pct"/>
            <w:vAlign w:val="center"/>
          </w:tcPr>
          <w:p>
            <w:pPr>
              <w:adjustRightInd w:val="0"/>
              <w:snapToGrid w:val="0"/>
              <w:spacing w:line="300" w:lineRule="exact"/>
              <w:jc w:val="center"/>
              <w:rPr>
                <w:rFonts w:hint="eastAsia" w:ascii="宋体" w:hAnsi="宋体" w:cs="宋体"/>
                <w:sz w:val="24"/>
                <w:szCs w:val="24"/>
              </w:rPr>
            </w:pPr>
          </w:p>
        </w:tc>
        <w:tc>
          <w:tcPr>
            <w:tcW w:w="279" w:type="pct"/>
            <w:vAlign w:val="center"/>
          </w:tcPr>
          <w:p>
            <w:pPr>
              <w:adjustRightInd w:val="0"/>
              <w:snapToGrid w:val="0"/>
              <w:spacing w:line="300" w:lineRule="exact"/>
              <w:jc w:val="center"/>
              <w:rPr>
                <w:rFonts w:hint="eastAsia" w:ascii="宋体" w:hAnsi="宋体" w:cs="宋体"/>
                <w:sz w:val="24"/>
                <w:szCs w:val="24"/>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水泵更换</w:t>
      </w:r>
      <w:r>
        <w:rPr>
          <w:rFonts w:hint="eastAsia" w:ascii="宋体" w:hAnsi="宋体"/>
          <w:sz w:val="24"/>
        </w:rPr>
        <w:t>。</w:t>
      </w:r>
    </w:p>
    <w:p>
      <w:pPr>
        <w:spacing w:line="500" w:lineRule="exact"/>
        <w:ind w:firstLine="480" w:firstLineChars="200"/>
        <w:rPr>
          <w:rFonts w:hint="eastAsia" w:ascii="宋体" w:hAnsi="宋体" w:eastAsia="宋体"/>
          <w:sz w:val="24"/>
          <w:lang w:eastAsia="zh-CN"/>
        </w:rPr>
      </w:pPr>
      <w:r>
        <w:rPr>
          <w:rFonts w:hint="eastAsia" w:ascii="宋体" w:hAnsi="宋体"/>
          <w:sz w:val="24"/>
          <w:lang w:val="en-US" w:eastAsia="zh-CN"/>
        </w:rPr>
        <w:t>6</w:t>
      </w:r>
      <w:r>
        <w:rPr>
          <w:rFonts w:hint="eastAsia" w:ascii="宋体" w:hAnsi="宋体"/>
          <w:sz w:val="24"/>
        </w:rPr>
        <w:t>、本项目不接受联合体响应</w:t>
      </w:r>
      <w:r>
        <w:rPr>
          <w:rFonts w:hint="eastAsia" w:ascii="宋体" w:hAnsi="宋体"/>
          <w:sz w:val="24"/>
          <w:lang w:eastAsia="zh-CN"/>
        </w:rPr>
        <w:t>。</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8</w:t>
      </w:r>
      <w:r>
        <w:rPr>
          <w:rFonts w:hint="eastAsia" w:ascii="宋体" w:hAnsi="宋体" w:cs="宋体"/>
          <w:kern w:val="0"/>
          <w:sz w:val="24"/>
        </w:rPr>
        <w:t>号楼</w:t>
      </w:r>
      <w:r>
        <w:rPr>
          <w:rFonts w:hint="eastAsia" w:ascii="宋体" w:hAnsi="宋体" w:cs="宋体"/>
          <w:kern w:val="0"/>
          <w:sz w:val="24"/>
          <w:lang w:val="en-US" w:eastAsia="zh-CN"/>
        </w:rPr>
        <w:t>814</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日上午</w:t>
      </w:r>
      <w:r>
        <w:rPr>
          <w:rFonts w:hint="eastAsia" w:ascii="宋体" w:hAnsi="宋体" w:cs="宋体"/>
          <w:kern w:val="0"/>
          <w:sz w:val="24"/>
          <w:lang w:val="en-US" w:eastAsia="zh-CN"/>
        </w:rPr>
        <w:t>9</w:t>
      </w:r>
      <w:r>
        <w:rPr>
          <w:rFonts w:hint="eastAsia" w:ascii="宋体" w:hAnsi="宋体" w:cs="宋体"/>
          <w:kern w:val="0"/>
          <w:sz w:val="24"/>
        </w:rPr>
        <w:t>时</w:t>
      </w:r>
      <w:r>
        <w:rPr>
          <w:rFonts w:hint="eastAsia" w:ascii="宋体" w:hAnsi="宋体" w:cs="宋体"/>
          <w:kern w:val="0"/>
          <w:sz w:val="24"/>
          <w:lang w:val="en-US" w:eastAsia="zh-CN"/>
        </w:rPr>
        <w:t>30</w:t>
      </w:r>
      <w:r>
        <w:rPr>
          <w:rFonts w:hint="eastAsia" w:ascii="宋体" w:hAnsi="宋体" w:cs="宋体"/>
          <w:kern w:val="0"/>
          <w:sz w:val="24"/>
        </w:rPr>
        <w:t>分</w:t>
      </w:r>
      <w:r>
        <w:rPr>
          <w:rFonts w:hint="eastAsia" w:ascii="宋体" w:hAnsi="宋体" w:cs="宋体"/>
          <w:kern w:val="0"/>
          <w:sz w:val="24"/>
        </w:rPr>
        <w:t>（北京时间）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联 系 人：</w:t>
      </w:r>
      <w:r>
        <w:rPr>
          <w:rFonts w:hint="eastAsia" w:ascii="宋体" w:hAnsi="宋体" w:cs="宋体"/>
          <w:bCs/>
          <w:kern w:val="0"/>
          <w:sz w:val="24"/>
          <w:lang w:val="en-US" w:eastAsia="zh-CN"/>
        </w:rPr>
        <w:t>邵 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w:t>
      </w:r>
      <w:r>
        <w:rPr>
          <w:rFonts w:hint="eastAsia" w:ascii="宋体" w:hAnsi="宋体" w:cs="宋体"/>
          <w:bCs/>
          <w:kern w:val="0"/>
          <w:sz w:val="24"/>
          <w:lang w:val="en-US" w:eastAsia="zh-CN"/>
        </w:rPr>
        <w:t>13797788685</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lang w:val="zh-CN"/>
        </w:rPr>
        <w:t>202</w:t>
      </w:r>
      <w:r>
        <w:rPr>
          <w:rFonts w:hint="eastAsia" w:ascii="宋体" w:hAnsi="宋体" w:cs="宋体"/>
          <w:kern w:val="0"/>
          <w:sz w:val="24"/>
          <w:lang w:val="en-US" w:eastAsia="zh-CN"/>
        </w:rPr>
        <w:t>4</w:t>
      </w:r>
      <w:r>
        <w:rPr>
          <w:rFonts w:hint="eastAsia" w:ascii="宋体" w:hAnsi="宋体" w:cs="宋体"/>
          <w:kern w:val="0"/>
          <w:sz w:val="24"/>
          <w:lang w:val="zh-CN"/>
        </w:rPr>
        <w:t>年</w:t>
      </w:r>
      <w:r>
        <w:rPr>
          <w:rFonts w:hint="eastAsia" w:ascii="宋体" w:hAnsi="宋体" w:cs="宋体"/>
          <w:kern w:val="0"/>
          <w:sz w:val="24"/>
          <w:lang w:val="en-US" w:eastAsia="zh-CN"/>
        </w:rPr>
        <w:t>4</w:t>
      </w:r>
      <w:r>
        <w:rPr>
          <w:rFonts w:hint="eastAsia" w:ascii="宋体" w:hAnsi="宋体" w:cs="宋体"/>
          <w:kern w:val="0"/>
          <w:sz w:val="24"/>
          <w:lang w:val="zh-CN"/>
        </w:rPr>
        <w:t>月</w:t>
      </w:r>
      <w:bookmarkStart w:id="5" w:name="_Toc120411792"/>
      <w:bookmarkStart w:id="6" w:name="_Toc136229089"/>
      <w:r>
        <w:rPr>
          <w:rFonts w:hint="eastAsia" w:ascii="宋体" w:hAnsi="宋体" w:cs="宋体"/>
          <w:kern w:val="0"/>
          <w:sz w:val="24"/>
          <w:lang w:val="en-US" w:eastAsia="zh-CN"/>
        </w:rPr>
        <w:t>26</w:t>
      </w:r>
      <w:r>
        <w:rPr>
          <w:rFonts w:hint="eastAsia" w:ascii="宋体" w:hAnsi="宋体" w:cs="宋体"/>
          <w:kern w:val="0"/>
          <w:sz w:val="24"/>
          <w:lang w:val="zh-CN"/>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spacing w:line="300" w:lineRule="exact"/>
              <w:rPr>
                <w:rFonts w:hint="eastAsia" w:ascii="宋体" w:hAnsi="宋体"/>
                <w:szCs w:val="21"/>
                <w:lang w:eastAsia="zh-CN"/>
              </w:rPr>
            </w:pPr>
            <w:r>
              <w:rPr>
                <w:rFonts w:hint="eastAsia" w:ascii="宋体" w:hAnsi="宋体"/>
                <w:szCs w:val="21"/>
                <w:lang w:val="en-US" w:eastAsia="zh-CN"/>
              </w:rPr>
              <w:t>黄石市中心医院(中心院区)污水站清水池2台水泵更换项目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hint="eastAsia" w:ascii="宋体" w:hAnsi="宋体"/>
                <w:szCs w:val="21"/>
                <w:lang w:eastAsia="zh-CN"/>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hint="eastAsia" w:ascii="宋体" w:hAnsi="宋体"/>
                <w:szCs w:val="21"/>
                <w:lang w:eastAsia="zh-CN"/>
              </w:rPr>
            </w:pPr>
            <w:r>
              <w:rPr>
                <w:rFonts w:hint="eastAsia" w:ascii="宋体" w:hAnsi="宋体"/>
                <w:szCs w:val="21"/>
                <w:lang w:val="en-US" w:eastAsia="zh-CN"/>
              </w:rPr>
              <w:t>污水站清水池2台水泵更换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hint="eastAsia" w:ascii="宋体" w:hAnsi="宋体"/>
                <w:szCs w:val="21"/>
                <w:lang w:eastAsia="zh-CN"/>
              </w:rPr>
            </w:pPr>
            <w:r>
              <w:rPr>
                <w:rFonts w:hint="eastAsia" w:ascii="宋体" w:hAnsi="宋体"/>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120411798"/>
      <w:bookmarkStart w:id="11" w:name="_Toc535832519"/>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535832520"/>
      <w:bookmarkStart w:id="13" w:name="_Toc120411799"/>
      <w:bookmarkStart w:id="14" w:name="_Toc16768"/>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120411802"/>
      <w:bookmarkStart w:id="20" w:name="_Toc535832523"/>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0505"/>
      <w:bookmarkStart w:id="23" w:name="_Toc120411803"/>
      <w:bookmarkStart w:id="24" w:name="_Toc535832524"/>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24505"/>
      <w:bookmarkStart w:id="27" w:name="_Toc120411804"/>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19459"/>
      <w:bookmarkStart w:id="29" w:name="_Toc535832527"/>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535832532"/>
      <w:bookmarkStart w:id="33" w:name="_Toc120411811"/>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47348161"/>
      <w:bookmarkStart w:id="35" w:name="_Toc109616875"/>
      <w:bookmarkStart w:id="36" w:name="_Toc121195753"/>
      <w:bookmarkStart w:id="37" w:name="_Toc11828"/>
      <w:bookmarkStart w:id="38" w:name="_Toc535832531"/>
      <w:bookmarkStart w:id="39" w:name="_Toc120411810"/>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535832541"/>
      <w:bookmarkStart w:id="45" w:name="_Toc120411819"/>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120411834"/>
      <w:bookmarkStart w:id="56" w:name="_Toc535815711"/>
      <w:bookmarkStart w:id="57" w:name="_Toc535891688"/>
      <w:bookmarkStart w:id="58" w:name="_Toc535832555"/>
      <w:bookmarkStart w:id="59" w:name="_Toc535814466"/>
      <w:bookmarkStart w:id="60" w:name="_Toc535891855"/>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黄石市中心医院(中心院区)污水站清水池2台水泵更换项目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color w:val="000000" w:themeColor="text1"/>
          <w:sz w:val="24"/>
          <w:lang w:val="en-US" w:eastAsia="zh-CN"/>
          <w14:textFill>
            <w14:solidFill>
              <w14:schemeClr w14:val="tx1"/>
            </w14:solidFill>
          </w14:textFill>
        </w:rPr>
        <w:t>11000元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4、数量：2台</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910"/>
        <w:gridCol w:w="1896"/>
        <w:gridCol w:w="650"/>
        <w:gridCol w:w="729"/>
        <w:gridCol w:w="886"/>
        <w:gridCol w:w="933"/>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59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03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color w:val="000000" w:themeColor="text1"/>
                <w:szCs w:val="21"/>
                <w:lang w:val="en-US" w:eastAsia="zh-CN"/>
                <w14:textFill>
                  <w14:solidFill>
                    <w14:schemeClr w14:val="tx1"/>
                  </w14:solidFill>
                </w14:textFill>
              </w:rPr>
              <w:t>设备参数</w:t>
            </w:r>
          </w:p>
        </w:tc>
        <w:tc>
          <w:tcPr>
            <w:tcW w:w="35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39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c>
          <w:tcPr>
            <w:tcW w:w="485"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单价</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51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合计</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27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59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2台水泵</w:t>
            </w:r>
          </w:p>
        </w:tc>
        <w:tc>
          <w:tcPr>
            <w:tcW w:w="1038" w:type="pct"/>
            <w:vAlign w:val="center"/>
          </w:tcPr>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口径</w:t>
            </w:r>
            <w:r>
              <w:rPr>
                <w:rFonts w:hint="eastAsia" w:ascii="宋体" w:hAnsi="宋体" w:cs="宋体"/>
                <w:sz w:val="24"/>
                <w:szCs w:val="24"/>
                <w:lang w:val="en-US" w:eastAsia="zh-CN"/>
              </w:rPr>
              <w:t>：</w:t>
            </w:r>
            <w:r>
              <w:rPr>
                <w:rFonts w:hint="default" w:ascii="宋体" w:hAnsi="宋体" w:cs="宋体"/>
                <w:sz w:val="24"/>
                <w:szCs w:val="24"/>
                <w:lang w:val="en-US" w:eastAsia="zh-CN"/>
              </w:rPr>
              <w:t>100mm</w:t>
            </w:r>
          </w:p>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流量</w:t>
            </w:r>
            <w:r>
              <w:rPr>
                <w:rFonts w:hint="eastAsia" w:ascii="宋体" w:hAnsi="宋体" w:cs="宋体"/>
                <w:sz w:val="24"/>
                <w:szCs w:val="24"/>
                <w:lang w:val="en-US" w:eastAsia="zh-CN"/>
              </w:rPr>
              <w:t>：</w:t>
            </w:r>
            <w:r>
              <w:rPr>
                <w:rFonts w:hint="default" w:ascii="宋体" w:hAnsi="宋体" w:cs="宋体"/>
                <w:sz w:val="24"/>
                <w:szCs w:val="24"/>
                <w:lang w:val="en-US" w:eastAsia="zh-CN"/>
              </w:rPr>
              <w:t>≥60m³/h</w:t>
            </w:r>
          </w:p>
          <w:p>
            <w:pPr>
              <w:adjustRightInd w:val="0"/>
              <w:snapToGrid w:val="0"/>
              <w:spacing w:line="300" w:lineRule="exact"/>
              <w:jc w:val="center"/>
              <w:rPr>
                <w:rFonts w:hint="default" w:ascii="宋体" w:hAnsi="宋体" w:cs="宋体"/>
                <w:sz w:val="24"/>
                <w:szCs w:val="24"/>
                <w:lang w:val="en-US" w:eastAsia="zh-CN"/>
              </w:rPr>
            </w:pPr>
            <w:r>
              <w:rPr>
                <w:rFonts w:hint="default" w:ascii="宋体" w:hAnsi="宋体" w:cs="宋体"/>
                <w:sz w:val="24"/>
                <w:szCs w:val="24"/>
                <w:lang w:val="en-US" w:eastAsia="zh-CN"/>
              </w:rPr>
              <w:t>扬程</w:t>
            </w:r>
            <w:r>
              <w:rPr>
                <w:rFonts w:hint="eastAsia" w:ascii="宋体" w:hAnsi="宋体" w:cs="宋体"/>
                <w:sz w:val="24"/>
                <w:szCs w:val="24"/>
                <w:lang w:val="en-US" w:eastAsia="zh-CN"/>
              </w:rPr>
              <w:t>：</w:t>
            </w:r>
            <w:r>
              <w:rPr>
                <w:rFonts w:hint="default" w:ascii="宋体" w:hAnsi="宋体" w:cs="宋体"/>
                <w:sz w:val="24"/>
                <w:szCs w:val="24"/>
                <w:lang w:val="en-US" w:eastAsia="zh-CN"/>
              </w:rPr>
              <w:t>≥10米</w:t>
            </w:r>
          </w:p>
          <w:p>
            <w:pPr>
              <w:adjustRightInd w:val="0"/>
              <w:snapToGrid w:val="0"/>
              <w:spacing w:line="300" w:lineRule="exact"/>
              <w:jc w:val="center"/>
              <w:rPr>
                <w:rFonts w:hint="default" w:ascii="宋体" w:hAnsi="宋体" w:cs="宋体"/>
                <w:szCs w:val="21"/>
                <w:lang w:val="en-US" w:eastAsia="zh-CN"/>
              </w:rPr>
            </w:pPr>
            <w:bookmarkStart w:id="65" w:name="_GoBack"/>
            <w:bookmarkEnd w:id="65"/>
          </w:p>
        </w:tc>
        <w:tc>
          <w:tcPr>
            <w:tcW w:w="356"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台</w:t>
            </w:r>
          </w:p>
        </w:tc>
        <w:tc>
          <w:tcPr>
            <w:tcW w:w="399"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2</w:t>
            </w:r>
          </w:p>
        </w:tc>
        <w:tc>
          <w:tcPr>
            <w:tcW w:w="1593"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安装调试</w:t>
            </w:r>
          </w:p>
        </w:tc>
        <w:tc>
          <w:tcPr>
            <w:tcW w:w="1038"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w:t>
            </w:r>
          </w:p>
        </w:tc>
        <w:tc>
          <w:tcPr>
            <w:tcW w:w="35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次</w:t>
            </w:r>
          </w:p>
        </w:tc>
        <w:tc>
          <w:tcPr>
            <w:tcW w:w="399"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2台水泵更换</w:t>
      </w:r>
      <w:r>
        <w:rPr>
          <w:rFonts w:hint="eastAsia" w:ascii="宋体" w:hAnsi="宋体"/>
          <w:sz w:val="24"/>
        </w:rPr>
        <w:t>。</w:t>
      </w:r>
    </w:p>
    <w:p>
      <w:pPr>
        <w:spacing w:line="500" w:lineRule="exact"/>
        <w:ind w:firstLine="480" w:firstLineChars="200"/>
        <w:rPr>
          <w:rFonts w:hint="eastAsia" w:ascii="宋体" w:hAnsi="宋体" w:eastAsia="宋体"/>
          <w:sz w:val="24"/>
          <w:lang w:eastAsia="zh-CN"/>
        </w:rPr>
      </w:pPr>
      <w:r>
        <w:rPr>
          <w:rFonts w:hint="eastAsia" w:ascii="宋体" w:hAnsi="宋体"/>
          <w:sz w:val="24"/>
          <w:lang w:val="en-US" w:eastAsia="zh-CN"/>
        </w:rPr>
        <w:t>6</w:t>
      </w:r>
      <w:r>
        <w:rPr>
          <w:rFonts w:hint="eastAsia" w:ascii="宋体" w:hAnsi="宋体"/>
          <w:sz w:val="24"/>
        </w:rPr>
        <w:t>、本项目不接受联合体响应</w:t>
      </w:r>
      <w:r>
        <w:rPr>
          <w:rFonts w:hint="eastAsia" w:ascii="宋体" w:hAnsi="宋体"/>
          <w:sz w:val="24"/>
          <w:lang w:eastAsia="zh-CN"/>
        </w:rPr>
        <w:t>。</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3NmE1NDRlNzcyZTg2ZmY3ZDQ0ZjIwNzViNjZjZDcifQ=="/>
    <w:docVar w:name="KSO_WPS_MARK_KEY" w:val="28a57099-b86f-4090-bc98-f050d540d82d"/>
  </w:docVars>
  <w:rsids>
    <w:rsidRoot w:val="00E84365"/>
    <w:rsid w:val="002C6D24"/>
    <w:rsid w:val="00400454"/>
    <w:rsid w:val="00500B22"/>
    <w:rsid w:val="00E84365"/>
    <w:rsid w:val="00EF2BFE"/>
    <w:rsid w:val="01050F22"/>
    <w:rsid w:val="032633D2"/>
    <w:rsid w:val="05D644FD"/>
    <w:rsid w:val="0707343C"/>
    <w:rsid w:val="0C0B585A"/>
    <w:rsid w:val="16C44F84"/>
    <w:rsid w:val="1A732F49"/>
    <w:rsid w:val="1D187DD7"/>
    <w:rsid w:val="21224D1E"/>
    <w:rsid w:val="24480FA2"/>
    <w:rsid w:val="2468430B"/>
    <w:rsid w:val="25586D92"/>
    <w:rsid w:val="28602C68"/>
    <w:rsid w:val="2B7A33AE"/>
    <w:rsid w:val="2EFD17FD"/>
    <w:rsid w:val="300A1801"/>
    <w:rsid w:val="317A6513"/>
    <w:rsid w:val="31EC41F6"/>
    <w:rsid w:val="32FA790B"/>
    <w:rsid w:val="37317C9C"/>
    <w:rsid w:val="382009A0"/>
    <w:rsid w:val="39260DA8"/>
    <w:rsid w:val="39D569DC"/>
    <w:rsid w:val="3AF45588"/>
    <w:rsid w:val="3D932E36"/>
    <w:rsid w:val="44F773F3"/>
    <w:rsid w:val="45BD7061"/>
    <w:rsid w:val="47256022"/>
    <w:rsid w:val="47482EE3"/>
    <w:rsid w:val="474B29D4"/>
    <w:rsid w:val="477737C9"/>
    <w:rsid w:val="47BE4F54"/>
    <w:rsid w:val="48594125"/>
    <w:rsid w:val="48FD1AAC"/>
    <w:rsid w:val="4DB017E2"/>
    <w:rsid w:val="50E81293"/>
    <w:rsid w:val="53DD69B8"/>
    <w:rsid w:val="57245C28"/>
    <w:rsid w:val="575939B1"/>
    <w:rsid w:val="5B70435F"/>
    <w:rsid w:val="63DA2CBD"/>
    <w:rsid w:val="6DFD1A82"/>
    <w:rsid w:val="71E80C9B"/>
    <w:rsid w:val="72B82E0E"/>
    <w:rsid w:val="74C71C6E"/>
    <w:rsid w:val="79CF2008"/>
    <w:rsid w:val="79D1456C"/>
    <w:rsid w:val="7A6678BB"/>
    <w:rsid w:val="7D7D673C"/>
    <w:rsid w:val="7F0C3E2E"/>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autoRedefine/>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qFormat/>
    <w:uiPriority w:val="0"/>
    <w:pPr>
      <w:spacing w:line="360" w:lineRule="auto"/>
      <w:ind w:left="420" w:firstLine="420"/>
    </w:pPr>
    <w:rPr>
      <w:szCs w:val="20"/>
    </w:rPr>
  </w:style>
  <w:style w:type="paragraph" w:styleId="13">
    <w:name w:val="Document Map"/>
    <w:basedOn w:val="1"/>
    <w:link w:val="61"/>
    <w:autoRedefine/>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semiHidden/>
    <w:qFormat/>
    <w:uiPriority w:val="99"/>
    <w:pPr>
      <w:jc w:val="left"/>
    </w:pPr>
    <w:rPr>
      <w:rFonts w:asciiTheme="minorHAnsi" w:hAnsiTheme="minorHAnsi" w:eastAsiaTheme="minorEastAsia" w:cstheme="minorBidi"/>
    </w:rPr>
  </w:style>
  <w:style w:type="paragraph" w:styleId="15">
    <w:name w:val="Body Text 3"/>
    <w:basedOn w:val="1"/>
    <w:link w:val="107"/>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qFormat/>
    <w:uiPriority w:val="0"/>
    <w:rPr>
      <w:rFonts w:ascii="宋体" w:hAnsi="Courier New"/>
      <w:kern w:val="10"/>
      <w:szCs w:val="21"/>
    </w:rPr>
  </w:style>
  <w:style w:type="paragraph" w:styleId="21">
    <w:name w:val="toc 8"/>
    <w:basedOn w:val="1"/>
    <w:next w:val="1"/>
    <w:qFormat/>
    <w:uiPriority w:val="39"/>
    <w:pPr>
      <w:ind w:left="1470"/>
      <w:jc w:val="left"/>
    </w:pPr>
    <w:rPr>
      <w:szCs w:val="21"/>
    </w:rPr>
  </w:style>
  <w:style w:type="paragraph" w:styleId="22">
    <w:name w:val="Date"/>
    <w:basedOn w:val="1"/>
    <w:next w:val="1"/>
    <w:link w:val="71"/>
    <w:qFormat/>
    <w:uiPriority w:val="0"/>
    <w:pPr>
      <w:ind w:left="100" w:leftChars="2500"/>
    </w:pPr>
    <w:rPr>
      <w:color w:val="0000FF"/>
      <w:sz w:val="24"/>
    </w:rPr>
  </w:style>
  <w:style w:type="paragraph" w:styleId="23">
    <w:name w:val="Body Text Indent 2"/>
    <w:basedOn w:val="1"/>
    <w:link w:val="73"/>
    <w:qFormat/>
    <w:uiPriority w:val="0"/>
    <w:pPr>
      <w:ind w:left="899" w:leftChars="428" w:firstLine="456" w:firstLineChars="217"/>
    </w:pPr>
  </w:style>
  <w:style w:type="paragraph" w:styleId="24">
    <w:name w:val="Balloon Text"/>
    <w:basedOn w:val="1"/>
    <w:link w:val="60"/>
    <w:semiHidden/>
    <w:qFormat/>
    <w:uiPriority w:val="99"/>
    <w:rPr>
      <w:rFonts w:asciiTheme="minorHAnsi" w:hAnsiTheme="minorHAnsi" w:eastAsiaTheme="minorEastAsia" w:cstheme="minorBidi"/>
      <w:sz w:val="18"/>
      <w:szCs w:val="18"/>
    </w:rPr>
  </w:style>
  <w:style w:type="paragraph" w:styleId="25">
    <w:name w:val="footer"/>
    <w:basedOn w:val="1"/>
    <w:link w:val="48"/>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qFormat/>
    <w:uiPriority w:val="0"/>
    <w:rPr>
      <w:rFonts w:ascii="宋体" w:hAnsi="宋体" w:eastAsia="宋体" w:cs="Times New Roman"/>
      <w:b/>
      <w:bCs/>
      <w:sz w:val="24"/>
      <w:szCs w:val="24"/>
    </w:rPr>
  </w:style>
  <w:style w:type="character" w:customStyle="1" w:styleId="51">
    <w:name w:val="标题 3 字符"/>
    <w:basedOn w:val="40"/>
    <w:link w:val="4"/>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qFormat/>
    <w:uiPriority w:val="0"/>
    <w:rPr>
      <w:rFonts w:ascii="Calibri" w:hAnsi="Calibri" w:eastAsia="宋体" w:cs="Times New Roman"/>
      <w:color w:val="FF0000"/>
      <w:sz w:val="24"/>
      <w:szCs w:val="24"/>
    </w:rPr>
  </w:style>
  <w:style w:type="paragraph" w:customStyle="1" w:styleId="7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qFormat/>
    <w:uiPriority w:val="1"/>
    <w:pPr>
      <w:ind w:left="149"/>
      <w:jc w:val="left"/>
      <w:outlineLvl w:val="4"/>
    </w:pPr>
    <w:rPr>
      <w:rFonts w:ascii="宋体" w:hAnsi="宋体"/>
      <w:kern w:val="0"/>
      <w:sz w:val="24"/>
      <w:lang w:eastAsia="en-US"/>
    </w:rPr>
  </w:style>
  <w:style w:type="paragraph" w:customStyle="1" w:styleId="81">
    <w:name w:val="xiao b"/>
    <w:basedOn w:val="1"/>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qFormat/>
    <w:uiPriority w:val="0"/>
    <w:pPr>
      <w:spacing w:line="240" w:lineRule="auto"/>
      <w:ind w:firstLine="0"/>
    </w:pPr>
  </w:style>
  <w:style w:type="character" w:customStyle="1" w:styleId="147">
    <w:name w:val="NormalCharacter"/>
    <w:link w:val="148"/>
    <w:qFormat/>
    <w:uiPriority w:val="0"/>
    <w:rPr>
      <w:rFonts w:ascii="Calibri" w:hAnsi="Calibri" w:eastAsia="宋体" w:cs="Times New Roman"/>
      <w:sz w:val="20"/>
      <w:szCs w:val="20"/>
    </w:rPr>
  </w:style>
  <w:style w:type="paragraph" w:customStyle="1" w:styleId="148">
    <w:name w:val="UserStyle_0"/>
    <w:basedOn w:val="1"/>
    <w:link w:val="147"/>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6220</Words>
  <Characters>6417</Characters>
  <Lines>69</Lines>
  <Paragraphs>19</Paragraphs>
  <TotalTime>7</TotalTime>
  <ScaleCrop>false</ScaleCrop>
  <LinksUpToDate>false</LinksUpToDate>
  <CharactersWithSpaces>7056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Koyomi</cp:lastModifiedBy>
  <cp:lastPrinted>2024-04-26T03:35:08Z</cp:lastPrinted>
  <dcterms:modified xsi:type="dcterms:W3CDTF">2024-04-26T03:35:42Z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1437DA7BD1874042A566846515D6D982_13</vt:lpwstr>
  </property>
</Properties>
</file>