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s="宋体"/>
          <w:sz w:val="44"/>
        </w:rPr>
      </w:pPr>
    </w:p>
    <w:p>
      <w:pPr>
        <w:pStyle w:val="3"/>
        <w:tabs>
          <w:tab w:val="left" w:pos="2520"/>
        </w:tabs>
        <w:spacing w:line="500" w:lineRule="exact"/>
        <w:rPr>
          <w:rFonts w:hAnsi="宋体" w:cs="宋体"/>
          <w:sz w:val="28"/>
          <w:szCs w:val="28"/>
        </w:rPr>
      </w:pPr>
    </w:p>
    <w:p>
      <w:pPr>
        <w:pStyle w:val="3"/>
        <w:tabs>
          <w:tab w:val="left" w:pos="2520"/>
        </w:tabs>
        <w:spacing w:line="500" w:lineRule="exact"/>
        <w:jc w:val="center"/>
        <w:rPr>
          <w:rFonts w:hAnsi="宋体" w:cs="宋体"/>
          <w:spacing w:val="14"/>
          <w:sz w:val="48"/>
          <w:szCs w:val="48"/>
        </w:rPr>
      </w:pPr>
    </w:p>
    <w:p>
      <w:pPr>
        <w:pStyle w:val="3"/>
        <w:tabs>
          <w:tab w:val="left" w:pos="2520"/>
        </w:tabs>
        <w:spacing w:line="900" w:lineRule="exact"/>
        <w:jc w:val="center"/>
        <w:rPr>
          <w:rFonts w:hAnsi="宋体" w:cs="宋体"/>
          <w:b/>
          <w:sz w:val="84"/>
          <w:szCs w:val="84"/>
        </w:rPr>
      </w:pPr>
      <w:r>
        <w:rPr>
          <w:rFonts w:hint="eastAsia" w:hAnsi="宋体" w:cs="宋体"/>
          <w:b/>
          <w:sz w:val="84"/>
          <w:szCs w:val="84"/>
        </w:rPr>
        <w:t>竞争性磋商文件</w:t>
      </w:r>
    </w:p>
    <w:p>
      <w:pPr>
        <w:pStyle w:val="3"/>
        <w:tabs>
          <w:tab w:val="left" w:pos="2520"/>
        </w:tabs>
        <w:spacing w:line="500" w:lineRule="exact"/>
        <w:jc w:val="center"/>
        <w:rPr>
          <w:rFonts w:hAnsi="宋体" w:cs="宋体"/>
          <w:sz w:val="72"/>
          <w:szCs w:val="72"/>
        </w:rPr>
      </w:pPr>
    </w:p>
    <w:p>
      <w:pPr>
        <w:spacing w:line="480" w:lineRule="auto"/>
        <w:ind w:left="3081" w:leftChars="798" w:hanging="1405" w:hangingChars="500"/>
        <w:rPr>
          <w:rFonts w:ascii="宋体" w:hAnsi="宋体" w:cs="宋体"/>
          <w:b/>
          <w:sz w:val="28"/>
          <w:szCs w:val="28"/>
        </w:rPr>
      </w:pPr>
    </w:p>
    <w:p>
      <w:pPr>
        <w:spacing w:line="480" w:lineRule="auto"/>
        <w:ind w:left="3081" w:leftChars="798" w:hanging="1405" w:hangingChars="500"/>
        <w:rPr>
          <w:rFonts w:ascii="宋体" w:hAnsi="宋体" w:cs="宋体"/>
          <w:b/>
          <w:sz w:val="28"/>
          <w:szCs w:val="28"/>
        </w:rPr>
      </w:pPr>
    </w:p>
    <w:p>
      <w:pPr>
        <w:spacing w:line="480" w:lineRule="auto"/>
        <w:ind w:left="3081" w:leftChars="798" w:hanging="1405" w:hangingChars="500"/>
        <w:rPr>
          <w:rFonts w:ascii="宋体" w:hAnsi="宋体" w:cs="宋体"/>
          <w:b/>
          <w:sz w:val="28"/>
          <w:szCs w:val="28"/>
        </w:rPr>
      </w:pPr>
    </w:p>
    <w:p>
      <w:pPr>
        <w:spacing w:line="480" w:lineRule="auto"/>
        <w:ind w:left="3081" w:leftChars="798" w:hanging="1405" w:hangingChars="500"/>
        <w:rPr>
          <w:rFonts w:ascii="宋体" w:hAnsi="宋体" w:cs="宋体"/>
          <w:b/>
          <w:sz w:val="28"/>
          <w:szCs w:val="28"/>
        </w:rPr>
      </w:pPr>
    </w:p>
    <w:p>
      <w:pPr>
        <w:spacing w:line="420" w:lineRule="exact"/>
        <w:ind w:left="3243" w:leftChars="684" w:hanging="1807" w:hangingChars="500"/>
        <w:rPr>
          <w:rFonts w:ascii="宋体" w:hAnsi="宋体" w:cs="宋体"/>
          <w:b/>
          <w:sz w:val="36"/>
          <w:szCs w:val="36"/>
        </w:rPr>
      </w:pPr>
      <w:r>
        <w:rPr>
          <w:rFonts w:hint="eastAsia" w:ascii="宋体" w:hAnsi="宋体" w:cs="宋体"/>
          <w:b/>
          <w:sz w:val="36"/>
          <w:szCs w:val="36"/>
        </w:rPr>
        <w:t>项目名称：黄石市中心医院</w:t>
      </w:r>
      <w:r>
        <w:rPr>
          <w:rFonts w:hint="eastAsia" w:ascii="宋体" w:hAnsi="宋体" w:cs="宋体"/>
          <w:b/>
          <w:sz w:val="36"/>
          <w:szCs w:val="36"/>
          <w:lang w:val="en-US" w:eastAsia="zh-CN"/>
        </w:rPr>
        <w:t>中药熏蒸治疗仪</w:t>
      </w:r>
      <w:r>
        <w:rPr>
          <w:rFonts w:hint="eastAsia" w:ascii="宋体" w:hAnsi="宋体" w:cs="宋体"/>
          <w:b/>
          <w:sz w:val="36"/>
          <w:szCs w:val="36"/>
        </w:rPr>
        <w:t>采购项目</w:t>
      </w:r>
    </w:p>
    <w:p>
      <w:pPr>
        <w:spacing w:line="480" w:lineRule="auto"/>
        <w:ind w:firstLine="1446" w:firstLineChars="400"/>
        <w:rPr>
          <w:rFonts w:ascii="宋体" w:hAnsi="宋体" w:cs="宋体"/>
          <w:b/>
          <w:sz w:val="36"/>
          <w:szCs w:val="36"/>
          <w:lang w:val="zh-CN"/>
        </w:rPr>
      </w:pPr>
    </w:p>
    <w:p>
      <w:pPr>
        <w:spacing w:line="480" w:lineRule="auto"/>
        <w:ind w:firstLine="1446" w:firstLineChars="400"/>
        <w:rPr>
          <w:rFonts w:ascii="宋体" w:hAnsi="宋体" w:cs="宋体"/>
          <w:b/>
          <w:sz w:val="36"/>
          <w:szCs w:val="36"/>
        </w:rPr>
      </w:pPr>
      <w:r>
        <w:rPr>
          <w:rFonts w:hint="eastAsia" w:ascii="宋体" w:hAnsi="宋体" w:cs="宋体"/>
          <w:b/>
          <w:sz w:val="36"/>
          <w:szCs w:val="36"/>
        </w:rPr>
        <w:t>采购单位：黄石市中心医院</w:t>
      </w:r>
    </w:p>
    <w:p>
      <w:pPr>
        <w:pStyle w:val="3"/>
        <w:tabs>
          <w:tab w:val="left" w:pos="2520"/>
        </w:tabs>
        <w:spacing w:line="500" w:lineRule="exact"/>
        <w:jc w:val="center"/>
        <w:rPr>
          <w:rFonts w:hAnsi="宋体" w:cs="宋体"/>
          <w:sz w:val="36"/>
          <w:szCs w:val="36"/>
        </w:rPr>
      </w:pPr>
    </w:p>
    <w:p>
      <w:pPr>
        <w:pStyle w:val="3"/>
        <w:tabs>
          <w:tab w:val="left" w:pos="2520"/>
        </w:tabs>
        <w:spacing w:line="500" w:lineRule="exact"/>
        <w:jc w:val="center"/>
        <w:rPr>
          <w:rFonts w:hAnsi="宋体" w:cs="宋体"/>
          <w:sz w:val="72"/>
          <w:szCs w:val="72"/>
        </w:rPr>
      </w:pPr>
    </w:p>
    <w:p>
      <w:pPr>
        <w:pStyle w:val="3"/>
        <w:tabs>
          <w:tab w:val="left" w:pos="2520"/>
        </w:tabs>
        <w:spacing w:line="500" w:lineRule="exact"/>
        <w:rPr>
          <w:rFonts w:hAnsi="宋体" w:cs="宋体"/>
          <w:sz w:val="72"/>
          <w:szCs w:val="72"/>
        </w:rPr>
      </w:pPr>
    </w:p>
    <w:p>
      <w:pPr>
        <w:pStyle w:val="3"/>
        <w:tabs>
          <w:tab w:val="left" w:pos="2520"/>
        </w:tabs>
        <w:spacing w:line="500" w:lineRule="exact"/>
        <w:rPr>
          <w:rFonts w:hAnsi="宋体" w:cs="宋体"/>
          <w:sz w:val="72"/>
          <w:szCs w:val="72"/>
        </w:rPr>
      </w:pPr>
    </w:p>
    <w:p>
      <w:pPr>
        <w:pStyle w:val="3"/>
        <w:tabs>
          <w:tab w:val="left" w:pos="2520"/>
        </w:tabs>
        <w:spacing w:line="500" w:lineRule="exact"/>
        <w:rPr>
          <w:rFonts w:hAnsi="宋体" w:cs="宋体"/>
          <w:sz w:val="72"/>
          <w:szCs w:val="72"/>
        </w:rPr>
      </w:pPr>
    </w:p>
    <w:p>
      <w:pPr>
        <w:tabs>
          <w:tab w:val="left" w:pos="1980"/>
        </w:tabs>
        <w:spacing w:line="500" w:lineRule="exact"/>
        <w:jc w:val="center"/>
        <w:rPr>
          <w:rFonts w:ascii="宋体" w:hAnsi="宋体" w:cs="宋体"/>
          <w:b/>
          <w:bCs/>
          <w:sz w:val="18"/>
          <w:szCs w:val="18"/>
        </w:rPr>
      </w:pPr>
    </w:p>
    <w:p>
      <w:pPr>
        <w:tabs>
          <w:tab w:val="left" w:pos="1980"/>
        </w:tabs>
        <w:spacing w:line="500" w:lineRule="exact"/>
        <w:rPr>
          <w:rFonts w:ascii="宋体" w:hAnsi="宋体" w:cs="宋体"/>
          <w:b/>
          <w:bCs/>
          <w:sz w:val="28"/>
          <w:szCs w:val="28"/>
        </w:rPr>
      </w:pPr>
    </w:p>
    <w:p>
      <w:pPr>
        <w:spacing w:line="500" w:lineRule="exact"/>
        <w:jc w:val="center"/>
        <w:rPr>
          <w:rFonts w:ascii="宋体" w:hAnsi="宋体" w:cs="宋体"/>
          <w:b/>
          <w:bCs/>
          <w:sz w:val="32"/>
          <w:szCs w:val="32"/>
        </w:rPr>
      </w:pPr>
    </w:p>
    <w:p>
      <w:pPr>
        <w:spacing w:line="500" w:lineRule="exact"/>
        <w:jc w:val="center"/>
        <w:rPr>
          <w:rFonts w:ascii="宋体" w:hAnsi="宋体" w:cs="宋体"/>
          <w:b/>
          <w:sz w:val="44"/>
          <w:szCs w:val="44"/>
        </w:rPr>
      </w:pPr>
    </w:p>
    <w:p>
      <w:pPr>
        <w:snapToGrid w:val="0"/>
        <w:jc w:val="center"/>
        <w:rPr>
          <w:rFonts w:ascii="宋体" w:hAnsi="宋体"/>
          <w:b/>
          <w:bCs/>
          <w:sz w:val="36"/>
          <w:szCs w:val="36"/>
        </w:rPr>
      </w:pPr>
    </w:p>
    <w:p>
      <w:pPr>
        <w:snapToGrid w:val="0"/>
        <w:jc w:val="center"/>
        <w:rPr>
          <w:rFonts w:ascii="宋体" w:hAnsi="宋体"/>
          <w:b/>
          <w:bCs/>
          <w:sz w:val="36"/>
          <w:szCs w:val="36"/>
        </w:rPr>
      </w:pPr>
    </w:p>
    <w:p>
      <w:pPr>
        <w:snapToGrid w:val="0"/>
        <w:ind w:firstLine="3253" w:firstLineChars="900"/>
        <w:rPr>
          <w:rFonts w:ascii="宋体"/>
          <w:b/>
          <w:sz w:val="32"/>
          <w:szCs w:val="32"/>
        </w:rPr>
      </w:pPr>
      <w:r>
        <w:rPr>
          <w:rFonts w:hint="eastAsia" w:ascii="宋体" w:hAnsi="宋体"/>
          <w:b/>
          <w:bCs/>
          <w:sz w:val="36"/>
          <w:szCs w:val="36"/>
        </w:rPr>
        <w:t>二〇二三年</w:t>
      </w:r>
      <w:r>
        <w:rPr>
          <w:rFonts w:hint="eastAsia" w:ascii="宋体" w:hAnsi="宋体"/>
          <w:b/>
          <w:bCs/>
          <w:sz w:val="36"/>
          <w:szCs w:val="36"/>
          <w:lang w:val="en-US" w:eastAsia="zh-CN"/>
        </w:rPr>
        <w:t>七</w:t>
      </w:r>
      <w:r>
        <w:rPr>
          <w:rFonts w:hint="eastAsia" w:ascii="宋体" w:hAnsi="宋体"/>
          <w:b/>
          <w:bCs/>
          <w:sz w:val="36"/>
          <w:szCs w:val="36"/>
        </w:rPr>
        <w:t>月</w:t>
      </w:r>
    </w:p>
    <w:p>
      <w:pPr>
        <w:spacing w:line="500" w:lineRule="exact"/>
        <w:jc w:val="center"/>
        <w:rPr>
          <w:rFonts w:ascii="宋体" w:hAnsi="宋体" w:cs="宋体"/>
          <w:b/>
          <w:bCs/>
          <w:sz w:val="32"/>
          <w:szCs w:val="32"/>
        </w:rPr>
      </w:pPr>
    </w:p>
    <w:p>
      <w:pPr>
        <w:rPr>
          <w:rFonts w:ascii="宋体" w:hAnsi="宋体" w:cs="宋体"/>
          <w:sz w:val="24"/>
          <w:szCs w:val="24"/>
        </w:rPr>
      </w:pPr>
    </w:p>
    <w:p>
      <w:pPr>
        <w:spacing w:line="500" w:lineRule="exact"/>
        <w:jc w:val="center"/>
        <w:rPr>
          <w:rFonts w:ascii="宋体" w:hAnsi="宋体" w:cs="宋体"/>
          <w:b/>
          <w:bCs/>
          <w:sz w:val="24"/>
          <w:szCs w:val="24"/>
        </w:rPr>
      </w:pPr>
    </w:p>
    <w:p>
      <w:pPr>
        <w:pStyle w:val="2"/>
        <w:rPr>
          <w:rFonts w:ascii="宋体" w:hAnsi="宋体" w:cs="宋体"/>
        </w:rPr>
      </w:pPr>
      <w:bookmarkStart w:id="0" w:name="_Toc528493082"/>
      <w:bookmarkStart w:id="1" w:name="_Toc528493130"/>
      <w:bookmarkStart w:id="2" w:name="_Toc528493163"/>
      <w:bookmarkStart w:id="3" w:name="_Toc528493563"/>
      <w:bookmarkStart w:id="4" w:name="_Toc528494262"/>
      <w:r>
        <w:rPr>
          <w:rFonts w:hint="eastAsia" w:ascii="宋体" w:hAnsi="宋体" w:cs="宋体"/>
        </w:rPr>
        <w:t>第一章  磋商邀请函</w:t>
      </w:r>
      <w:bookmarkEnd w:id="0"/>
      <w:bookmarkEnd w:id="1"/>
      <w:bookmarkEnd w:id="2"/>
      <w:bookmarkEnd w:id="3"/>
      <w:bookmarkEnd w:id="4"/>
    </w:p>
    <w:p>
      <w:pPr>
        <w:spacing w:line="420" w:lineRule="exact"/>
        <w:ind w:firstLine="480" w:firstLineChars="200"/>
        <w:rPr>
          <w:rFonts w:ascii="宋体" w:cs="宋体"/>
          <w:sz w:val="24"/>
          <w:lang w:val="zh-CN"/>
        </w:rPr>
      </w:pPr>
      <w:bookmarkStart w:id="5" w:name="_Toc28359080"/>
      <w:bookmarkStart w:id="6" w:name="_Toc35393791"/>
      <w:bookmarkStart w:id="7" w:name="_Toc28359003"/>
      <w:bookmarkStart w:id="8" w:name="_Toc35393622"/>
      <w:r>
        <w:rPr>
          <w:rFonts w:hint="eastAsia" w:ascii="宋体" w:hAnsi="宋体" w:cs="宋体"/>
          <w:sz w:val="24"/>
          <w:lang w:val="zh-CN"/>
        </w:rPr>
        <w:t>根据黄石市中心医院的需求，就</w:t>
      </w:r>
      <w:r>
        <w:rPr>
          <w:rFonts w:hint="eastAsia" w:ascii="宋体" w:hAnsi="宋体" w:cs="宋体"/>
          <w:sz w:val="24"/>
        </w:rPr>
        <w:t>黄石市中心医院</w:t>
      </w:r>
      <w:r>
        <w:rPr>
          <w:rFonts w:hint="eastAsia" w:ascii="宋体" w:hAnsi="宋体" w:cs="宋体"/>
          <w:sz w:val="24"/>
          <w:lang w:val="en-US" w:eastAsia="zh-CN"/>
        </w:rPr>
        <w:t>中药熏蒸治疗仪</w:t>
      </w:r>
      <w:r>
        <w:rPr>
          <w:rFonts w:hint="eastAsia" w:ascii="宋体" w:hAnsi="宋体" w:cs="宋体"/>
          <w:sz w:val="24"/>
        </w:rPr>
        <w:t>采购项目</w:t>
      </w:r>
      <w:r>
        <w:rPr>
          <w:rFonts w:hint="eastAsia" w:ascii="宋体" w:hAnsi="宋体" w:cs="宋体"/>
          <w:sz w:val="24"/>
          <w:lang w:val="zh-CN"/>
        </w:rPr>
        <w:t>以竞争性磋商方式进行采购</w:t>
      </w:r>
      <w:r>
        <w:rPr>
          <w:rFonts w:hint="eastAsia" w:ascii="宋体" w:hAnsi="宋体" w:cs="宋体"/>
          <w:sz w:val="24"/>
        </w:rPr>
        <w:t>，欢迎符合资格条件的磋商供应商参与本项目。</w:t>
      </w:r>
    </w:p>
    <w:p>
      <w:pPr>
        <w:spacing w:line="420" w:lineRule="exact"/>
        <w:rPr>
          <w:rFonts w:ascii="宋体" w:cs="宋体"/>
          <w:sz w:val="18"/>
          <w:szCs w:val="18"/>
        </w:rPr>
      </w:pPr>
      <w:r>
        <w:rPr>
          <w:rFonts w:hint="eastAsia" w:ascii="宋体" w:hAnsi="宋体" w:cs="宋体"/>
          <w:b/>
          <w:bCs/>
          <w:sz w:val="24"/>
        </w:rPr>
        <w:t>一、项目概况：</w:t>
      </w:r>
    </w:p>
    <w:bookmarkEnd w:id="5"/>
    <w:bookmarkEnd w:id="6"/>
    <w:bookmarkEnd w:id="7"/>
    <w:bookmarkEnd w:id="8"/>
    <w:p>
      <w:pPr>
        <w:spacing w:line="420" w:lineRule="exact"/>
        <w:ind w:firstLine="480" w:firstLineChars="200"/>
        <w:rPr>
          <w:rFonts w:ascii="宋体" w:hAnsi="宋体" w:cs="宋体"/>
          <w:sz w:val="24"/>
        </w:rPr>
      </w:pPr>
      <w:bookmarkStart w:id="9" w:name="_Toc35393623"/>
      <w:bookmarkStart w:id="10" w:name="_Toc28359081"/>
      <w:bookmarkStart w:id="11" w:name="_Toc35393792"/>
      <w:bookmarkStart w:id="12" w:name="_Toc28359004"/>
      <w:r>
        <w:rPr>
          <w:rFonts w:ascii="宋体" w:hAnsi="宋体" w:cs="宋体"/>
          <w:sz w:val="24"/>
        </w:rPr>
        <w:t>1.</w:t>
      </w:r>
      <w:r>
        <w:rPr>
          <w:rFonts w:hint="eastAsia" w:ascii="宋体" w:hAnsi="宋体" w:cs="宋体"/>
          <w:sz w:val="24"/>
        </w:rPr>
        <w:t>项目名称：黄石市中心医院</w:t>
      </w:r>
      <w:r>
        <w:rPr>
          <w:rFonts w:hint="eastAsia" w:ascii="宋体" w:hAnsi="宋体" w:cs="宋体"/>
          <w:sz w:val="24"/>
          <w:lang w:val="en-US" w:eastAsia="zh-CN"/>
        </w:rPr>
        <w:t>中药熏蒸治疗仪</w:t>
      </w:r>
      <w:r>
        <w:rPr>
          <w:rFonts w:hint="eastAsia" w:ascii="宋体" w:hAnsi="宋体" w:cs="宋体"/>
          <w:sz w:val="24"/>
        </w:rPr>
        <w:t>采购项目</w:t>
      </w:r>
    </w:p>
    <w:p>
      <w:pPr>
        <w:spacing w:line="420" w:lineRule="exact"/>
        <w:ind w:firstLine="480" w:firstLineChars="200"/>
        <w:rPr>
          <w:rFonts w:ascii="宋体" w:cs="宋体"/>
          <w:sz w:val="24"/>
        </w:rPr>
      </w:pPr>
      <w:r>
        <w:rPr>
          <w:rFonts w:ascii="宋体" w:hAnsi="宋体" w:cs="宋体"/>
          <w:sz w:val="24"/>
        </w:rPr>
        <w:t>2.</w:t>
      </w:r>
      <w:r>
        <w:rPr>
          <w:rFonts w:hint="eastAsia" w:ascii="宋体" w:hAnsi="宋体" w:cs="宋体"/>
          <w:sz w:val="24"/>
        </w:rPr>
        <w:t>采购方式：竞争性磋商</w:t>
      </w:r>
    </w:p>
    <w:p>
      <w:pPr>
        <w:spacing w:line="420" w:lineRule="exact"/>
        <w:ind w:firstLine="480" w:firstLineChars="200"/>
        <w:rPr>
          <w:rFonts w:ascii="宋体" w:hAnsi="宋体" w:cs="宋体"/>
          <w:sz w:val="24"/>
        </w:rPr>
      </w:pPr>
      <w:r>
        <w:rPr>
          <w:rFonts w:ascii="宋体" w:hAnsi="宋体" w:cs="宋体"/>
          <w:sz w:val="24"/>
        </w:rPr>
        <w:t>3.</w:t>
      </w:r>
      <w:r>
        <w:rPr>
          <w:rFonts w:hint="eastAsia" w:ascii="宋体" w:hAnsi="宋体" w:cs="宋体"/>
          <w:sz w:val="24"/>
        </w:rPr>
        <w:t>预算金额：</w:t>
      </w:r>
      <w:r>
        <w:rPr>
          <w:rFonts w:hint="eastAsia" w:ascii="宋体" w:hAnsi="宋体" w:cs="宋体"/>
          <w:sz w:val="24"/>
          <w:lang w:val="en-US" w:eastAsia="zh-CN"/>
        </w:rPr>
        <w:t>8</w:t>
      </w:r>
      <w:r>
        <w:rPr>
          <w:rFonts w:hint="eastAsia" w:ascii="宋体" w:hAnsi="宋体" w:cs="宋体"/>
          <w:sz w:val="24"/>
        </w:rPr>
        <w:t>万元</w:t>
      </w:r>
    </w:p>
    <w:p>
      <w:pPr>
        <w:spacing w:line="420" w:lineRule="exact"/>
        <w:ind w:firstLine="480" w:firstLineChars="200"/>
        <w:rPr>
          <w:rFonts w:ascii="宋体" w:hAnsi="宋体" w:cs="宋体"/>
          <w:sz w:val="24"/>
        </w:rPr>
      </w:pPr>
      <w:r>
        <w:rPr>
          <w:rFonts w:ascii="宋体" w:hAnsi="宋体" w:cs="宋体"/>
          <w:sz w:val="24"/>
        </w:rPr>
        <w:t>4</w:t>
      </w:r>
      <w:r>
        <w:rPr>
          <w:rFonts w:hint="eastAsia" w:ascii="宋体" w:hAnsi="宋体" w:cs="宋体"/>
          <w:sz w:val="24"/>
        </w:rPr>
        <w:t>.采购数量：</w:t>
      </w:r>
      <w:r>
        <w:rPr>
          <w:rFonts w:hint="eastAsia" w:ascii="宋体" w:hAnsi="宋体" w:cs="宋体"/>
          <w:sz w:val="24"/>
          <w:lang w:val="en-US" w:eastAsia="zh-CN"/>
        </w:rPr>
        <w:t>2</w:t>
      </w:r>
      <w:r>
        <w:rPr>
          <w:rFonts w:hint="eastAsia" w:ascii="宋体" w:hAnsi="宋体" w:cs="宋体"/>
          <w:sz w:val="24"/>
        </w:rPr>
        <w:t>台</w:t>
      </w:r>
    </w:p>
    <w:p>
      <w:pPr>
        <w:spacing w:line="420" w:lineRule="exact"/>
        <w:ind w:firstLine="480" w:firstLineChars="200"/>
        <w:rPr>
          <w:rFonts w:ascii="宋体" w:hAnsi="宋体" w:cs="宋体"/>
          <w:sz w:val="24"/>
        </w:rPr>
      </w:pPr>
      <w:r>
        <w:rPr>
          <w:rFonts w:ascii="宋体" w:hAnsi="宋体" w:cs="宋体"/>
          <w:sz w:val="24"/>
        </w:rPr>
        <w:t>5.</w:t>
      </w:r>
      <w:r>
        <w:rPr>
          <w:rFonts w:hint="eastAsia" w:ascii="宋体" w:hAnsi="宋体" w:cs="宋体"/>
          <w:sz w:val="24"/>
        </w:rPr>
        <w:t>送货期：合同签订七天内</w:t>
      </w:r>
    </w:p>
    <w:p>
      <w:pPr>
        <w:spacing w:line="420" w:lineRule="exact"/>
        <w:ind w:firstLine="480" w:firstLineChars="200"/>
        <w:rPr>
          <w:rFonts w:ascii="宋体" w:hAnsi="宋体" w:cs="宋体"/>
          <w:sz w:val="24"/>
          <w:szCs w:val="24"/>
        </w:rPr>
      </w:pPr>
      <w:r>
        <w:rPr>
          <w:rFonts w:hint="eastAsia" w:ascii="宋体" w:hAnsi="宋体" w:cs="宋体"/>
          <w:sz w:val="24"/>
        </w:rPr>
        <w:t>6.</w:t>
      </w:r>
      <w:r>
        <w:rPr>
          <w:rFonts w:hint="eastAsia" w:ascii="宋体" w:hAnsi="宋体" w:cs="宋体"/>
          <w:sz w:val="24"/>
          <w:szCs w:val="24"/>
        </w:rPr>
        <w:t>交货地点：黄石市中心医院指定地点</w:t>
      </w:r>
    </w:p>
    <w:p>
      <w:pPr>
        <w:spacing w:line="420" w:lineRule="exact"/>
        <w:ind w:firstLine="480" w:firstLineChars="200"/>
        <w:rPr>
          <w:rFonts w:ascii="宋体" w:hAnsi="宋体" w:cs="宋体"/>
          <w:sz w:val="24"/>
          <w:szCs w:val="24"/>
        </w:rPr>
      </w:pPr>
      <w:r>
        <w:rPr>
          <w:rFonts w:hint="eastAsia" w:ascii="宋体" w:hAnsi="宋体" w:cs="宋体"/>
          <w:sz w:val="24"/>
        </w:rPr>
        <w:t>7.</w:t>
      </w:r>
      <w:r>
        <w:rPr>
          <w:rFonts w:hint="eastAsia" w:ascii="宋体" w:hAnsi="宋体" w:cs="宋体"/>
          <w:sz w:val="24"/>
          <w:szCs w:val="24"/>
        </w:rPr>
        <w:t>交货方式：免费上门安装调试</w:t>
      </w:r>
      <w:r>
        <w:rPr>
          <w:rFonts w:hint="eastAsia" w:ascii="宋体" w:hAnsi="宋体" w:cs="宋体"/>
          <w:sz w:val="24"/>
        </w:rPr>
        <w:t>至设备正常使用，验收合格</w:t>
      </w:r>
    </w:p>
    <w:p>
      <w:pPr>
        <w:spacing w:line="420" w:lineRule="exact"/>
        <w:ind w:left="719" w:leftChars="228" w:hanging="240" w:hangingChars="100"/>
        <w:rPr>
          <w:rFonts w:ascii="宋体" w:hAnsi="宋体" w:cs="宋体"/>
          <w:sz w:val="24"/>
          <w:szCs w:val="24"/>
        </w:rPr>
      </w:pPr>
      <w:r>
        <w:rPr>
          <w:rFonts w:hint="eastAsia" w:ascii="宋体" w:hAnsi="宋体" w:cs="宋体"/>
          <w:sz w:val="24"/>
        </w:rPr>
        <w:t>8.</w:t>
      </w:r>
      <w:r>
        <w:rPr>
          <w:rFonts w:hint="eastAsia" w:ascii="宋体" w:hAnsi="宋体" w:cs="宋体"/>
          <w:sz w:val="24"/>
          <w:szCs w:val="24"/>
        </w:rPr>
        <w:t>质</w:t>
      </w:r>
      <w:r>
        <w:rPr>
          <w:rFonts w:hint="eastAsia" w:ascii="宋体" w:hAnsi="宋体" w:cs="宋体"/>
          <w:sz w:val="24"/>
        </w:rPr>
        <w:t>保</w:t>
      </w:r>
      <w:r>
        <w:rPr>
          <w:rFonts w:hint="eastAsia" w:ascii="宋体" w:hAnsi="宋体" w:cs="宋体"/>
          <w:sz w:val="24"/>
          <w:szCs w:val="24"/>
        </w:rPr>
        <w:t>期：技术</w:t>
      </w:r>
      <w:r>
        <w:rPr>
          <w:rFonts w:hint="eastAsia" w:ascii="宋体" w:hAnsi="宋体" w:cs="宋体"/>
          <w:sz w:val="24"/>
        </w:rPr>
        <w:t>规范及要求中标明</w:t>
      </w:r>
      <w:r>
        <w:rPr>
          <w:rFonts w:hint="eastAsia" w:ascii="宋体" w:hAnsi="宋体" w:cs="宋体"/>
          <w:sz w:val="24"/>
          <w:szCs w:val="24"/>
        </w:rPr>
        <w:t>质</w:t>
      </w:r>
      <w:r>
        <w:rPr>
          <w:rFonts w:hint="eastAsia" w:ascii="宋体" w:hAnsi="宋体" w:cs="宋体"/>
          <w:sz w:val="24"/>
        </w:rPr>
        <w:t>保</w:t>
      </w:r>
      <w:r>
        <w:rPr>
          <w:rFonts w:hint="eastAsia" w:ascii="宋体" w:hAnsi="宋体" w:cs="宋体"/>
          <w:sz w:val="24"/>
          <w:szCs w:val="24"/>
        </w:rPr>
        <w:t>期的以其为准，未标明的均为验收合格后</w:t>
      </w:r>
      <w:r>
        <w:rPr>
          <w:rFonts w:hint="eastAsia" w:ascii="宋体" w:hAnsi="宋体" w:cs="宋体"/>
          <w:sz w:val="24"/>
        </w:rPr>
        <w:t>不少于三年</w:t>
      </w:r>
    </w:p>
    <w:p>
      <w:pPr>
        <w:spacing w:line="420" w:lineRule="exact"/>
        <w:ind w:firstLine="480" w:firstLineChars="200"/>
        <w:rPr>
          <w:rFonts w:ascii="宋体" w:hAnsi="宋体" w:cs="宋体"/>
          <w:sz w:val="24"/>
        </w:rPr>
      </w:pPr>
      <w:r>
        <w:rPr>
          <w:rFonts w:hint="eastAsia" w:ascii="宋体" w:hAnsi="宋体" w:cs="宋体"/>
          <w:sz w:val="24"/>
        </w:rPr>
        <w:t>9</w:t>
      </w:r>
      <w:r>
        <w:rPr>
          <w:rFonts w:ascii="宋体" w:hAnsi="宋体" w:cs="宋体"/>
          <w:sz w:val="24"/>
        </w:rPr>
        <w:t>.</w:t>
      </w:r>
      <w:r>
        <w:rPr>
          <w:rFonts w:hint="eastAsia" w:ascii="宋体" w:hAnsi="宋体" w:cs="宋体"/>
          <w:sz w:val="24"/>
        </w:rPr>
        <w:t>质量要求：符合国家管理、质检部门合格标准</w:t>
      </w:r>
    </w:p>
    <w:p>
      <w:pPr>
        <w:spacing w:line="420" w:lineRule="exact"/>
        <w:rPr>
          <w:rFonts w:ascii="宋体" w:cs="宋体"/>
          <w:b/>
          <w:bCs/>
          <w:sz w:val="24"/>
        </w:rPr>
      </w:pPr>
      <w:r>
        <w:rPr>
          <w:rFonts w:hint="eastAsia" w:ascii="宋体" w:hAnsi="宋体" w:cs="宋体"/>
          <w:b/>
          <w:bCs/>
          <w:sz w:val="24"/>
        </w:rPr>
        <w:t>二、供应商资格要求：</w:t>
      </w:r>
    </w:p>
    <w:p>
      <w:pPr>
        <w:snapToGrid w:val="0"/>
        <w:spacing w:line="420" w:lineRule="exact"/>
        <w:ind w:firstLine="504" w:firstLineChars="210"/>
        <w:rPr>
          <w:rFonts w:ascii="宋体" w:hAnsi="宋体" w:cs="宋体"/>
          <w:color w:val="000000"/>
          <w:sz w:val="24"/>
        </w:rPr>
      </w:pPr>
      <w:r>
        <w:rPr>
          <w:rFonts w:hint="eastAsia" w:ascii="宋体" w:hAnsi="宋体" w:cs="宋体"/>
          <w:color w:val="000000"/>
          <w:sz w:val="24"/>
        </w:rPr>
        <w:t>1.供应商必须具有良好的商业信誉和健全的财务会计制度、有依法缴纳税收和社会保障资金的良好记录，近三年在经营活动中没有重大违法记录（提供近三年无重大违法记录声明）。</w:t>
      </w:r>
    </w:p>
    <w:p>
      <w:pPr>
        <w:snapToGrid w:val="0"/>
        <w:spacing w:line="420" w:lineRule="exact"/>
        <w:ind w:firstLine="480" w:firstLineChars="200"/>
        <w:rPr>
          <w:rFonts w:ascii="宋体" w:hAnsi="宋体" w:cs="宋体"/>
          <w:color w:val="000000"/>
          <w:sz w:val="24"/>
        </w:rPr>
      </w:pPr>
      <w:r>
        <w:rPr>
          <w:rFonts w:hint="eastAsia" w:ascii="宋体" w:hAnsi="宋体" w:cs="宋体"/>
          <w:color w:val="000000"/>
          <w:sz w:val="24"/>
        </w:rPr>
        <w:t>2.供应商必须持有有效期内的营业执照。</w:t>
      </w:r>
    </w:p>
    <w:p>
      <w:pPr>
        <w:snapToGrid w:val="0"/>
        <w:spacing w:line="420" w:lineRule="exact"/>
        <w:ind w:firstLine="504" w:firstLineChars="210"/>
        <w:rPr>
          <w:rFonts w:ascii="宋体" w:hAnsi="宋体" w:cs="宋体"/>
          <w:sz w:val="24"/>
        </w:rPr>
      </w:pPr>
      <w:r>
        <w:rPr>
          <w:rFonts w:hint="eastAsia" w:ascii="宋体" w:hAnsi="宋体" w:cs="宋体"/>
          <w:color w:val="000000"/>
          <w:sz w:val="24"/>
        </w:rPr>
        <w:t>3</w:t>
      </w:r>
      <w:r>
        <w:rPr>
          <w:rFonts w:ascii="宋体" w:hAnsi="宋体" w:cs="宋体"/>
          <w:color w:val="000000"/>
          <w:sz w:val="24"/>
        </w:rPr>
        <w:t>.</w:t>
      </w:r>
      <w:r>
        <w:rPr>
          <w:rFonts w:hint="eastAsia" w:ascii="宋体" w:hAnsi="宋体" w:cs="宋体"/>
          <w:color w:val="000000"/>
          <w:sz w:val="24"/>
        </w:rPr>
        <w:t>投标人必须提供法定代表人授权委托书及</w:t>
      </w:r>
      <w:r>
        <w:rPr>
          <w:rFonts w:hint="eastAsia" w:ascii="宋体" w:hAnsi="宋体" w:cs="宋体"/>
          <w:sz w:val="24"/>
        </w:rPr>
        <w:t>代理人身份证。</w:t>
      </w:r>
    </w:p>
    <w:p>
      <w:pPr>
        <w:spacing w:line="360" w:lineRule="auto"/>
        <w:ind w:firstLine="480" w:firstLineChars="200"/>
        <w:rPr>
          <w:rFonts w:ascii="宋体" w:hAnsi="宋体" w:cs="宋体"/>
          <w:color w:val="000000"/>
          <w:sz w:val="24"/>
        </w:rPr>
      </w:pPr>
      <w:r>
        <w:rPr>
          <w:rFonts w:ascii="宋体" w:hAnsi="宋体" w:cs="宋体"/>
          <w:color w:val="000000"/>
          <w:sz w:val="24"/>
        </w:rPr>
        <w:t>4.</w:t>
      </w:r>
      <w:r>
        <w:rPr>
          <w:rFonts w:hint="eastAsia" w:ascii="宋体" w:hAnsi="宋体" w:cs="宋体"/>
          <w:color w:val="000000"/>
          <w:sz w:val="24"/>
        </w:rPr>
        <w:t>供应商必须持有医疗器械经营许可证。</w:t>
      </w:r>
    </w:p>
    <w:p>
      <w:pPr>
        <w:spacing w:line="360" w:lineRule="auto"/>
        <w:ind w:firstLine="480" w:firstLineChars="200"/>
        <w:rPr>
          <w:rFonts w:ascii="宋体" w:hAnsi="宋体" w:cs="宋体"/>
          <w:color w:val="000000"/>
          <w:sz w:val="24"/>
        </w:rPr>
      </w:pPr>
      <w:r>
        <w:rPr>
          <w:rFonts w:hint="eastAsia" w:ascii="宋体" w:hAnsi="宋体" w:cs="宋体"/>
          <w:color w:val="000000"/>
          <w:sz w:val="24"/>
        </w:rPr>
        <w:t>5.供应商必须提供项目设备的注册证及厂方许可证。</w:t>
      </w:r>
    </w:p>
    <w:p>
      <w:pPr>
        <w:snapToGrid w:val="0"/>
        <w:spacing w:line="420" w:lineRule="exact"/>
        <w:ind w:firstLine="480" w:firstLineChars="200"/>
        <w:rPr>
          <w:rFonts w:ascii="宋体" w:hAnsi="宋体" w:cs="宋体"/>
          <w:color w:val="000000"/>
          <w:sz w:val="24"/>
        </w:rPr>
      </w:pPr>
      <w:r>
        <w:rPr>
          <w:rFonts w:ascii="宋体" w:hAnsi="宋体" w:cs="宋体"/>
          <w:color w:val="000000"/>
          <w:sz w:val="24"/>
        </w:rPr>
        <w:t>6</w:t>
      </w:r>
      <w:r>
        <w:rPr>
          <w:rFonts w:hint="eastAsia" w:ascii="宋体" w:hAnsi="宋体" w:cs="宋体"/>
          <w:color w:val="000000"/>
          <w:sz w:val="24"/>
        </w:rPr>
        <w:t>.根据《关于在招投标活动中对失信被执行人实施联合惩戒的通知》(法[2016]285号)的规定，</w:t>
      </w:r>
      <w:r>
        <w:rPr>
          <w:rFonts w:hint="eastAsia" w:ascii="宋体" w:hAnsi="宋体"/>
          <w:color w:val="000000"/>
          <w:sz w:val="24"/>
          <w:lang w:val="zh-CN"/>
        </w:rPr>
        <w:t>供应商必须自公告发布之日起自行在</w:t>
      </w:r>
      <w:r>
        <w:rPr>
          <w:rFonts w:hint="eastAsia" w:ascii="宋体" w:hAnsi="宋体" w:cs="宋体"/>
          <w:color w:val="000000"/>
          <w:sz w:val="24"/>
        </w:rPr>
        <w:t>“信用中国”网站(网址www.creditchina.gov.cn)</w:t>
      </w:r>
      <w:r>
        <w:rPr>
          <w:rFonts w:hint="eastAsia" w:ascii="宋体" w:hAnsi="宋体"/>
          <w:color w:val="000000"/>
          <w:sz w:val="24"/>
          <w:lang w:val="zh-CN"/>
        </w:rPr>
        <w:t>查询</w:t>
      </w:r>
      <w:r>
        <w:rPr>
          <w:rFonts w:hint="eastAsia" w:ascii="宋体" w:hAnsi="宋体"/>
          <w:color w:val="000000"/>
          <w:sz w:val="24"/>
        </w:rPr>
        <w:t>，</w:t>
      </w:r>
      <w:r>
        <w:rPr>
          <w:rFonts w:hint="eastAsia" w:ascii="宋体" w:hAnsi="宋体"/>
          <w:color w:val="000000"/>
          <w:sz w:val="24"/>
          <w:lang w:val="zh-CN"/>
        </w:rPr>
        <w:t>将查询结果截图加盖公章放入谈判文件</w:t>
      </w:r>
      <w:r>
        <w:rPr>
          <w:rFonts w:hint="eastAsia" w:ascii="宋体" w:hAnsi="宋体" w:cs="宋体"/>
          <w:color w:val="000000"/>
          <w:sz w:val="24"/>
        </w:rPr>
        <w:t>。若供应商在“失信被执行人”名单中，谈判无效。查询结果以谈判当天“信用中国”网站查询</w:t>
      </w:r>
      <w:r>
        <w:rPr>
          <w:rFonts w:hint="eastAsia" w:ascii="宋体" w:hAnsi="宋体"/>
          <w:color w:val="000000"/>
          <w:sz w:val="24"/>
          <w:lang w:val="zh-CN"/>
        </w:rPr>
        <w:t>结果为准</w:t>
      </w:r>
      <w:r>
        <w:rPr>
          <w:rFonts w:hint="eastAsia" w:ascii="宋体" w:hAnsi="宋体"/>
          <w:color w:val="000000"/>
          <w:sz w:val="24"/>
        </w:rPr>
        <w:t>。</w:t>
      </w:r>
    </w:p>
    <w:p>
      <w:pPr>
        <w:snapToGrid w:val="0"/>
        <w:spacing w:line="420" w:lineRule="exact"/>
        <w:ind w:firstLine="504" w:firstLineChars="210"/>
        <w:rPr>
          <w:rFonts w:ascii="宋体" w:hAnsi="宋体" w:cs="宋体"/>
          <w:sz w:val="24"/>
          <w:lang w:val="zh-CN"/>
        </w:rPr>
      </w:pPr>
      <w:r>
        <w:rPr>
          <w:rFonts w:ascii="宋体" w:hAnsi="宋体" w:cs="宋体"/>
          <w:color w:val="000000"/>
          <w:sz w:val="24"/>
        </w:rPr>
        <w:t>7</w:t>
      </w:r>
      <w:r>
        <w:rPr>
          <w:rFonts w:hint="eastAsia" w:ascii="宋体" w:hAnsi="宋体" w:cs="宋体"/>
          <w:color w:val="000000"/>
          <w:sz w:val="24"/>
        </w:rPr>
        <w:t>.本项目不接受联合体参与谈判。</w:t>
      </w:r>
    </w:p>
    <w:bookmarkEnd w:id="9"/>
    <w:bookmarkEnd w:id="10"/>
    <w:bookmarkEnd w:id="11"/>
    <w:bookmarkEnd w:id="12"/>
    <w:p>
      <w:pPr>
        <w:spacing w:line="420" w:lineRule="exact"/>
        <w:rPr>
          <w:rFonts w:ascii="宋体" w:cs="宋体"/>
          <w:b/>
          <w:bCs/>
          <w:sz w:val="24"/>
        </w:rPr>
      </w:pPr>
      <w:bookmarkStart w:id="13" w:name="_Toc28359007"/>
      <w:bookmarkStart w:id="14" w:name="_Toc35393625"/>
      <w:bookmarkStart w:id="15" w:name="_Toc28359084"/>
      <w:bookmarkStart w:id="16" w:name="_Toc35393794"/>
      <w:r>
        <w:rPr>
          <w:rFonts w:hint="eastAsia" w:ascii="宋体" w:hAnsi="宋体" w:cs="宋体"/>
          <w:b/>
          <w:bCs/>
          <w:sz w:val="24"/>
        </w:rPr>
        <w:t>三、报名：</w:t>
      </w:r>
    </w:p>
    <w:p>
      <w:pPr>
        <w:snapToGrid w:val="0"/>
        <w:spacing w:line="420" w:lineRule="exact"/>
        <w:ind w:firstLine="504" w:firstLineChars="210"/>
        <w:rPr>
          <w:rFonts w:ascii="宋体" w:hAnsi="宋体" w:cs="宋体"/>
          <w:sz w:val="24"/>
        </w:rPr>
      </w:pPr>
      <w:r>
        <w:rPr>
          <w:rFonts w:ascii="宋体" w:hAnsi="宋体" w:cs="宋体"/>
          <w:sz w:val="24"/>
        </w:rPr>
        <w:t>1</w:t>
      </w:r>
      <w:r>
        <w:rPr>
          <w:rFonts w:hint="eastAsia" w:ascii="宋体" w:hAnsi="宋体" w:cs="宋体"/>
          <w:sz w:val="24"/>
        </w:rPr>
        <w:t xml:space="preserve">．报名地点：黄石市中心医院行政楼819办公室 </w:t>
      </w:r>
    </w:p>
    <w:p>
      <w:pPr>
        <w:snapToGrid w:val="0"/>
        <w:spacing w:line="420" w:lineRule="exact"/>
        <w:ind w:firstLine="504" w:firstLineChars="210"/>
        <w:rPr>
          <w:rFonts w:ascii="宋体" w:hAnsi="宋体" w:cs="宋体"/>
          <w:sz w:val="24"/>
        </w:rPr>
      </w:pPr>
      <w:r>
        <w:rPr>
          <w:rFonts w:hint="eastAsia" w:ascii="宋体" w:hAnsi="宋体" w:cs="宋体"/>
          <w:sz w:val="24"/>
        </w:rPr>
        <w:t xml:space="preserve">   联系人：邵奇    电话：</w:t>
      </w:r>
      <w:r>
        <w:rPr>
          <w:rFonts w:ascii="宋体" w:hAnsi="宋体" w:cs="宋体"/>
          <w:sz w:val="24"/>
        </w:rPr>
        <w:t>13797788685</w:t>
      </w:r>
    </w:p>
    <w:p>
      <w:pPr>
        <w:snapToGrid w:val="0"/>
        <w:spacing w:line="420" w:lineRule="exact"/>
        <w:ind w:firstLine="504" w:firstLineChars="210"/>
        <w:rPr>
          <w:rFonts w:ascii="宋体" w:hAnsi="宋体" w:cs="宋体"/>
          <w:sz w:val="24"/>
        </w:rPr>
      </w:pPr>
      <w:r>
        <w:rPr>
          <w:rFonts w:hint="eastAsia" w:ascii="宋体" w:hAnsi="宋体" w:cs="宋体"/>
          <w:sz w:val="24"/>
        </w:rPr>
        <w:t xml:space="preserve"> </w:t>
      </w:r>
      <w:r>
        <w:rPr>
          <w:rFonts w:ascii="宋体" w:hAnsi="宋体" w:cs="宋体"/>
          <w:sz w:val="24"/>
        </w:rPr>
        <w:t xml:space="preserve">  </w:t>
      </w:r>
      <w:r>
        <w:rPr>
          <w:rFonts w:hint="eastAsia" w:ascii="宋体" w:hAnsi="宋体" w:cs="宋体"/>
          <w:sz w:val="24"/>
        </w:rPr>
        <w:t>报名时间：</w:t>
      </w:r>
      <w:r>
        <w:rPr>
          <w:rFonts w:ascii="宋体" w:hAnsi="宋体" w:cs="宋体"/>
          <w:sz w:val="24"/>
        </w:rPr>
        <w:t>202</w:t>
      </w:r>
      <w:r>
        <w:rPr>
          <w:rFonts w:hint="eastAsia" w:ascii="宋体" w:hAnsi="宋体" w:cs="宋体"/>
          <w:sz w:val="24"/>
          <w:lang w:val="en-US" w:eastAsia="zh-CN"/>
        </w:rPr>
        <w:t>3</w:t>
      </w:r>
      <w:r>
        <w:rPr>
          <w:rFonts w:ascii="宋体" w:hAnsi="宋体" w:cs="宋体"/>
          <w:sz w:val="24"/>
        </w:rPr>
        <w:t>年</w:t>
      </w:r>
      <w:r>
        <w:rPr>
          <w:rFonts w:hint="eastAsia" w:ascii="宋体" w:hAnsi="宋体" w:cs="宋体"/>
          <w:sz w:val="24"/>
          <w:lang w:val="en-US" w:eastAsia="zh-CN"/>
        </w:rPr>
        <w:t>7</w:t>
      </w:r>
      <w:r>
        <w:rPr>
          <w:rFonts w:hint="eastAsia" w:ascii="宋体" w:hAnsi="宋体" w:cs="宋体"/>
          <w:sz w:val="24"/>
        </w:rPr>
        <w:t xml:space="preserve"> </w:t>
      </w:r>
      <w:r>
        <w:rPr>
          <w:rFonts w:ascii="宋体" w:hAnsi="宋体" w:cs="宋体"/>
          <w:sz w:val="24"/>
        </w:rPr>
        <w:t>月</w:t>
      </w:r>
      <w:r>
        <w:rPr>
          <w:rFonts w:hint="eastAsia" w:ascii="宋体" w:hAnsi="宋体" w:cs="宋体"/>
          <w:sz w:val="24"/>
          <w:lang w:val="en-US" w:eastAsia="zh-CN"/>
        </w:rPr>
        <w:t xml:space="preserve"> 26  </w:t>
      </w:r>
      <w:r>
        <w:rPr>
          <w:rFonts w:ascii="宋体" w:hAnsi="宋体" w:cs="宋体"/>
          <w:sz w:val="24"/>
        </w:rPr>
        <w:t>日</w:t>
      </w:r>
      <w:r>
        <w:rPr>
          <w:rFonts w:hint="eastAsia" w:ascii="宋体" w:hAnsi="宋体" w:cs="宋体"/>
          <w:sz w:val="24"/>
        </w:rPr>
        <w:t>-</w:t>
      </w:r>
      <w:r>
        <w:rPr>
          <w:rFonts w:ascii="宋体" w:hAnsi="宋体" w:cs="宋体"/>
          <w:sz w:val="24"/>
        </w:rPr>
        <w:t>20</w:t>
      </w:r>
      <w:r>
        <w:rPr>
          <w:rFonts w:hint="eastAsia" w:ascii="宋体" w:hAnsi="宋体" w:cs="宋体"/>
          <w:sz w:val="24"/>
          <w:lang w:val="en-US" w:eastAsia="zh-CN"/>
        </w:rPr>
        <w:t>23</w:t>
      </w:r>
      <w:r>
        <w:rPr>
          <w:rFonts w:hint="eastAsia" w:ascii="宋体" w:hAnsi="宋体" w:cs="宋体"/>
          <w:sz w:val="24"/>
        </w:rPr>
        <w:t xml:space="preserve">年 </w:t>
      </w:r>
      <w:r>
        <w:rPr>
          <w:rFonts w:hint="eastAsia" w:ascii="宋体" w:hAnsi="宋体" w:cs="宋体"/>
          <w:sz w:val="24"/>
          <w:lang w:val="en-US" w:eastAsia="zh-CN"/>
        </w:rPr>
        <w:t xml:space="preserve">8 </w:t>
      </w:r>
      <w:r>
        <w:rPr>
          <w:rFonts w:hint="eastAsia" w:ascii="宋体" w:hAnsi="宋体" w:cs="宋体"/>
          <w:sz w:val="24"/>
        </w:rPr>
        <w:t>月</w:t>
      </w:r>
      <w:r>
        <w:rPr>
          <w:rFonts w:hint="eastAsia" w:ascii="宋体" w:hAnsi="宋体" w:cs="宋体"/>
          <w:sz w:val="24"/>
          <w:lang w:val="en-US" w:eastAsia="zh-CN"/>
        </w:rPr>
        <w:t xml:space="preserve"> 2 </w:t>
      </w:r>
      <w:r>
        <w:rPr>
          <w:rFonts w:hint="eastAsia" w:ascii="宋体" w:hAnsi="宋体" w:cs="宋体"/>
          <w:sz w:val="24"/>
        </w:rPr>
        <w:t xml:space="preserve">  日</w:t>
      </w:r>
    </w:p>
    <w:p>
      <w:pPr>
        <w:snapToGrid w:val="0"/>
        <w:spacing w:line="420" w:lineRule="exact"/>
        <w:ind w:firstLine="504" w:firstLineChars="210"/>
        <w:rPr>
          <w:rFonts w:ascii="宋体" w:hAnsi="宋体" w:cs="宋体"/>
          <w:sz w:val="24"/>
        </w:rPr>
      </w:pPr>
      <w:r>
        <w:rPr>
          <w:rFonts w:ascii="宋体" w:hAnsi="宋体" w:cs="宋体"/>
          <w:sz w:val="24"/>
        </w:rPr>
        <w:t>2</w:t>
      </w:r>
      <w:r>
        <w:rPr>
          <w:rFonts w:hint="eastAsia" w:ascii="宋体" w:hAnsi="宋体" w:cs="宋体"/>
          <w:sz w:val="24"/>
        </w:rPr>
        <w:t>．报名时必须提供“供应商资格要求”资料的复印件（加盖公章）。</w:t>
      </w:r>
    </w:p>
    <w:p>
      <w:pPr>
        <w:spacing w:line="420" w:lineRule="exact"/>
        <w:ind w:firstLine="480" w:firstLineChars="200"/>
        <w:rPr>
          <w:rFonts w:ascii="宋体" w:hAnsi="宋体" w:cs="宋体"/>
          <w:sz w:val="24"/>
        </w:rPr>
      </w:pPr>
      <w:r>
        <w:rPr>
          <w:rFonts w:ascii="宋体" w:hAnsi="宋体" w:cs="宋体"/>
          <w:sz w:val="24"/>
        </w:rPr>
        <w:t xml:space="preserve">3. </w:t>
      </w:r>
      <w:r>
        <w:rPr>
          <w:rFonts w:hint="eastAsia" w:ascii="宋体" w:hAnsi="宋体" w:cs="宋体"/>
          <w:sz w:val="24"/>
        </w:rPr>
        <w:t>本项目竞争性磋商文件于黄石</w:t>
      </w:r>
      <w:r>
        <w:rPr>
          <w:rFonts w:hint="eastAsia" w:ascii="宋体" w:hAnsi="宋体" w:cs="宋体"/>
          <w:sz w:val="24"/>
          <w:lang w:val="en-US" w:eastAsia="zh-CN"/>
        </w:rPr>
        <w:t>中心医院</w:t>
      </w:r>
      <w:bookmarkStart w:id="43" w:name="_GoBack"/>
      <w:bookmarkEnd w:id="43"/>
      <w:r>
        <w:rPr>
          <w:rFonts w:hint="eastAsia" w:ascii="宋体" w:hAnsi="宋体" w:cs="宋体"/>
          <w:sz w:val="24"/>
        </w:rPr>
        <w:t>官网上发布。</w:t>
      </w:r>
      <w:bookmarkEnd w:id="13"/>
      <w:bookmarkEnd w:id="14"/>
      <w:bookmarkEnd w:id="15"/>
      <w:bookmarkEnd w:id="16"/>
      <w:bookmarkStart w:id="17" w:name="_Toc528493083"/>
      <w:bookmarkStart w:id="18" w:name="_Toc528493131"/>
      <w:bookmarkStart w:id="19" w:name="_Toc528494275"/>
      <w:bookmarkStart w:id="20" w:name="_Toc528493576"/>
      <w:bookmarkStart w:id="21" w:name="_Toc528493164"/>
    </w:p>
    <w:p>
      <w:pPr>
        <w:snapToGrid w:val="0"/>
        <w:spacing w:line="420" w:lineRule="exact"/>
        <w:ind w:firstLine="504" w:firstLineChars="210"/>
        <w:rPr>
          <w:rFonts w:ascii="宋体" w:hAnsi="宋体" w:cs="宋体"/>
          <w:sz w:val="24"/>
        </w:rPr>
      </w:pPr>
      <w:r>
        <w:rPr>
          <w:rFonts w:hint="eastAsia" w:ascii="宋体" w:hAnsi="宋体" w:cs="宋体"/>
          <w:sz w:val="24"/>
        </w:rPr>
        <w:t>4、开标时间：另行通知</w:t>
      </w:r>
    </w:p>
    <w:p>
      <w:pPr>
        <w:spacing w:line="420" w:lineRule="exact"/>
        <w:ind w:firstLine="420" w:firstLineChars="200"/>
        <w:rPr>
          <w:rFonts w:ascii="宋体" w:hAnsi="宋体" w:cs="宋体"/>
        </w:rPr>
      </w:pPr>
    </w:p>
    <w:p>
      <w:pPr>
        <w:pStyle w:val="2"/>
        <w:rPr>
          <w:rFonts w:ascii="宋体" w:hAnsi="宋体" w:cs="宋体"/>
        </w:rPr>
      </w:pPr>
      <w:r>
        <w:rPr>
          <w:rFonts w:hint="eastAsia" w:ascii="宋体" w:hAnsi="宋体" w:cs="宋体"/>
        </w:rPr>
        <w:t xml:space="preserve">第二章  </w:t>
      </w:r>
      <w:r>
        <w:rPr>
          <w:rFonts w:hint="eastAsia" w:ascii="宋体" w:hAnsi="宋体"/>
        </w:rPr>
        <w:t>竞争性磋商</w:t>
      </w:r>
      <w:r>
        <w:rPr>
          <w:rFonts w:hint="eastAsia" w:ascii="宋体" w:hAnsi="宋体" w:cs="宋体"/>
        </w:rPr>
        <w:t>须知</w:t>
      </w:r>
      <w:bookmarkEnd w:id="17"/>
      <w:bookmarkEnd w:id="18"/>
      <w:bookmarkEnd w:id="19"/>
      <w:bookmarkEnd w:id="20"/>
      <w:bookmarkEnd w:id="21"/>
    </w:p>
    <w:p>
      <w:pPr>
        <w:pStyle w:val="3"/>
        <w:adjustRightInd w:val="0"/>
        <w:snapToGrid w:val="0"/>
        <w:spacing w:line="500" w:lineRule="exact"/>
        <w:rPr>
          <w:rFonts w:hAnsi="宋体"/>
          <w:b/>
          <w:sz w:val="24"/>
          <w:szCs w:val="24"/>
        </w:rPr>
      </w:pPr>
      <w:bookmarkStart w:id="22" w:name="_Toc266776856"/>
      <w:r>
        <w:rPr>
          <w:rFonts w:hAnsi="宋体"/>
          <w:b/>
          <w:sz w:val="24"/>
          <w:szCs w:val="24"/>
        </w:rPr>
        <w:t>一、说明</w:t>
      </w:r>
      <w:bookmarkEnd w:id="22"/>
    </w:p>
    <w:p>
      <w:pPr>
        <w:spacing w:line="500" w:lineRule="exact"/>
        <w:jc w:val="left"/>
        <w:rPr>
          <w:rFonts w:ascii="宋体" w:hAnsi="宋体"/>
          <w:bCs/>
          <w:sz w:val="24"/>
        </w:rPr>
      </w:pPr>
      <w:r>
        <w:rPr>
          <w:rFonts w:ascii="宋体" w:hAnsi="宋体"/>
          <w:bCs/>
          <w:sz w:val="24"/>
        </w:rPr>
        <w:t>本竞争性</w:t>
      </w:r>
      <w:r>
        <w:rPr>
          <w:rFonts w:hint="eastAsia" w:ascii="宋体" w:hAnsi="宋体"/>
          <w:bCs/>
          <w:sz w:val="24"/>
        </w:rPr>
        <w:t>磋商</w:t>
      </w:r>
      <w:r>
        <w:rPr>
          <w:rFonts w:ascii="宋体" w:hAnsi="宋体"/>
          <w:bCs/>
          <w:sz w:val="24"/>
        </w:rPr>
        <w:t>文件依据国家有关法律法规编制。</w:t>
      </w:r>
    </w:p>
    <w:p>
      <w:pPr>
        <w:pStyle w:val="3"/>
        <w:adjustRightInd w:val="0"/>
        <w:snapToGrid w:val="0"/>
        <w:spacing w:line="500" w:lineRule="exact"/>
        <w:rPr>
          <w:rFonts w:hAnsi="宋体"/>
          <w:b/>
          <w:sz w:val="24"/>
          <w:szCs w:val="24"/>
        </w:rPr>
      </w:pPr>
      <w:r>
        <w:rPr>
          <w:rFonts w:hint="eastAsia" w:hAnsi="宋体"/>
          <w:b/>
          <w:sz w:val="24"/>
          <w:szCs w:val="24"/>
        </w:rPr>
        <w:t>1．适用范围</w:t>
      </w:r>
    </w:p>
    <w:p>
      <w:pPr>
        <w:spacing w:line="500" w:lineRule="exact"/>
        <w:rPr>
          <w:rFonts w:ascii="宋体" w:hAnsi="宋体"/>
          <w:sz w:val="24"/>
        </w:rPr>
      </w:pPr>
      <w:r>
        <w:rPr>
          <w:rFonts w:ascii="宋体" w:hAnsi="宋体"/>
          <w:sz w:val="24"/>
        </w:rPr>
        <w:t>1.1本竞争性</w:t>
      </w:r>
      <w:r>
        <w:rPr>
          <w:rFonts w:hint="eastAsia" w:ascii="宋体" w:hAnsi="宋体"/>
          <w:sz w:val="24"/>
        </w:rPr>
        <w:t>磋商</w:t>
      </w:r>
      <w:r>
        <w:rPr>
          <w:rFonts w:ascii="宋体" w:hAnsi="宋体"/>
          <w:sz w:val="24"/>
        </w:rPr>
        <w:t>文件仅适用于本次</w:t>
      </w:r>
      <w:r>
        <w:rPr>
          <w:rFonts w:hint="eastAsia" w:ascii="宋体" w:hAnsi="宋体"/>
          <w:sz w:val="24"/>
        </w:rPr>
        <w:t>竞争性磋商</w:t>
      </w:r>
      <w:r>
        <w:rPr>
          <w:rFonts w:ascii="宋体" w:hAnsi="宋体"/>
          <w:sz w:val="24"/>
        </w:rPr>
        <w:t>采购所涉及的项目和内容。</w:t>
      </w:r>
    </w:p>
    <w:p>
      <w:pPr>
        <w:spacing w:line="500" w:lineRule="exact"/>
        <w:rPr>
          <w:rFonts w:ascii="宋体" w:hAnsi="宋体"/>
          <w:sz w:val="24"/>
        </w:rPr>
      </w:pPr>
      <w:r>
        <w:rPr>
          <w:rFonts w:ascii="宋体" w:hAnsi="宋体"/>
          <w:sz w:val="24"/>
        </w:rPr>
        <w:t>1.2本竞争性</w:t>
      </w:r>
      <w:r>
        <w:rPr>
          <w:rFonts w:hint="eastAsia" w:ascii="宋体" w:hAnsi="宋体"/>
          <w:sz w:val="24"/>
        </w:rPr>
        <w:t>磋商</w:t>
      </w:r>
      <w:r>
        <w:rPr>
          <w:rFonts w:ascii="宋体" w:hAnsi="宋体"/>
          <w:sz w:val="24"/>
        </w:rPr>
        <w:t>文件的解释权</w:t>
      </w:r>
      <w:r>
        <w:rPr>
          <w:rFonts w:hint="eastAsia" w:ascii="宋体" w:hAnsi="宋体"/>
          <w:sz w:val="24"/>
        </w:rPr>
        <w:t>归采购单位</w:t>
      </w:r>
      <w:r>
        <w:rPr>
          <w:rFonts w:ascii="宋体" w:hAnsi="宋体"/>
          <w:sz w:val="24"/>
        </w:rPr>
        <w:t>。</w:t>
      </w:r>
    </w:p>
    <w:p>
      <w:pPr>
        <w:spacing w:line="500" w:lineRule="exact"/>
        <w:rPr>
          <w:rStyle w:val="10"/>
          <w:rFonts w:ascii="宋体" w:hAnsi="宋体" w:cs="宋体"/>
          <w:sz w:val="24"/>
          <w:szCs w:val="24"/>
        </w:rPr>
      </w:pPr>
      <w:r>
        <w:rPr>
          <w:rFonts w:hint="eastAsia" w:ascii="宋体" w:hAnsi="宋体" w:cs="宋体"/>
          <w:b/>
          <w:bCs/>
          <w:sz w:val="24"/>
          <w:szCs w:val="24"/>
        </w:rPr>
        <w:t xml:space="preserve">2. </w:t>
      </w:r>
      <w:r>
        <w:rPr>
          <w:rStyle w:val="10"/>
          <w:rFonts w:hint="eastAsia" w:ascii="宋体" w:hAnsi="宋体" w:cs="宋体"/>
          <w:sz w:val="24"/>
          <w:szCs w:val="24"/>
        </w:rPr>
        <w:t>定义</w:t>
      </w:r>
    </w:p>
    <w:p>
      <w:pPr>
        <w:spacing w:line="500" w:lineRule="exact"/>
        <w:rPr>
          <w:rFonts w:ascii="宋体" w:hAnsi="宋体" w:cs="宋体"/>
          <w:bCs/>
          <w:sz w:val="24"/>
        </w:rPr>
      </w:pPr>
      <w:r>
        <w:rPr>
          <w:rFonts w:hint="eastAsia" w:ascii="宋体" w:hAnsi="宋体" w:cs="宋体"/>
          <w:bCs/>
          <w:sz w:val="24"/>
        </w:rPr>
        <w:t xml:space="preserve">2.1“采购人”是指：黄石市中心医院。             </w:t>
      </w:r>
    </w:p>
    <w:p>
      <w:pPr>
        <w:widowControl/>
        <w:spacing w:line="500" w:lineRule="exact"/>
        <w:ind w:left="600" w:hanging="600" w:hangingChars="250"/>
        <w:jc w:val="left"/>
        <w:rPr>
          <w:rFonts w:ascii="宋体" w:hAnsi="宋体" w:cs="宋体"/>
          <w:bCs/>
          <w:sz w:val="24"/>
        </w:rPr>
      </w:pPr>
      <w:r>
        <w:rPr>
          <w:rFonts w:hint="eastAsia" w:ascii="宋体" w:hAnsi="宋体" w:cs="宋体"/>
          <w:bCs/>
          <w:sz w:val="24"/>
        </w:rPr>
        <w:t>2.</w:t>
      </w:r>
      <w:r>
        <w:rPr>
          <w:rFonts w:ascii="宋体" w:hAnsi="宋体" w:cs="宋体"/>
          <w:bCs/>
          <w:sz w:val="24"/>
        </w:rPr>
        <w:t>2</w:t>
      </w:r>
      <w:r>
        <w:rPr>
          <w:rFonts w:hint="eastAsia" w:ascii="宋体" w:hAnsi="宋体" w:cs="宋体"/>
          <w:bCs/>
          <w:sz w:val="24"/>
        </w:rPr>
        <w:t>“磋商供应商”是指：领取了本磋商文件、符合磋商文件规定资格条件并响应本文件要求，参加磋商的法人或者其他组织。如果该供应商在本次磋商中成交，即成为“成交供应商”。</w:t>
      </w:r>
    </w:p>
    <w:p>
      <w:pPr>
        <w:spacing w:line="500" w:lineRule="exact"/>
        <w:ind w:left="708" w:hanging="708" w:hangingChars="295"/>
        <w:rPr>
          <w:rFonts w:ascii="宋体" w:hAnsi="宋体" w:cs="宋体"/>
          <w:bCs/>
          <w:sz w:val="24"/>
        </w:rPr>
      </w:pPr>
      <w:r>
        <w:rPr>
          <w:rFonts w:hint="eastAsia" w:ascii="宋体" w:hAnsi="宋体" w:cs="宋体"/>
          <w:bCs/>
          <w:sz w:val="24"/>
        </w:rPr>
        <w:t>2.</w:t>
      </w:r>
      <w:r>
        <w:rPr>
          <w:rFonts w:ascii="宋体" w:hAnsi="宋体" w:cs="宋体"/>
          <w:bCs/>
          <w:sz w:val="24"/>
        </w:rPr>
        <w:t>3</w:t>
      </w:r>
      <w:r>
        <w:rPr>
          <w:rFonts w:hint="eastAsia" w:ascii="宋体" w:hAnsi="宋体" w:cs="宋体"/>
          <w:bCs/>
          <w:sz w:val="24"/>
        </w:rPr>
        <w:t>“货物”是指：是指供应商按磋商文件规定，向采购人提供全新的各种形态和种类的物品，包括软件、硬件、设备、产品等。</w:t>
      </w:r>
    </w:p>
    <w:p>
      <w:pPr>
        <w:spacing w:line="500" w:lineRule="exact"/>
        <w:ind w:left="600" w:hanging="600" w:hangingChars="250"/>
        <w:rPr>
          <w:rFonts w:ascii="宋体" w:hAnsi="宋体" w:cs="宋体"/>
          <w:sz w:val="24"/>
        </w:rPr>
      </w:pPr>
      <w:r>
        <w:rPr>
          <w:rFonts w:hint="eastAsia" w:ascii="宋体" w:hAnsi="宋体" w:cs="宋体"/>
          <w:sz w:val="24"/>
        </w:rPr>
        <w:t>2.</w:t>
      </w:r>
      <w:r>
        <w:rPr>
          <w:rFonts w:ascii="宋体" w:hAnsi="宋体" w:cs="宋体"/>
          <w:sz w:val="24"/>
        </w:rPr>
        <w:t>4</w:t>
      </w:r>
      <w:r>
        <w:rPr>
          <w:rFonts w:hint="eastAsia" w:ascii="宋体" w:hAnsi="宋体" w:cs="宋体"/>
          <w:bCs/>
          <w:sz w:val="24"/>
        </w:rPr>
        <w:t>“竞争性磋商响应文件”是指：供应商根据本文件要求，编制包含报价、技术和服务等所有内容的文件。</w:t>
      </w:r>
    </w:p>
    <w:p>
      <w:pPr>
        <w:spacing w:line="500" w:lineRule="exact"/>
        <w:rPr>
          <w:rFonts w:ascii="宋体" w:hAnsi="宋体" w:cs="宋体"/>
          <w:b/>
          <w:bCs/>
          <w:sz w:val="28"/>
          <w:szCs w:val="28"/>
        </w:rPr>
      </w:pPr>
      <w:r>
        <w:rPr>
          <w:rFonts w:ascii="宋体" w:hAnsi="宋体" w:cs="宋体"/>
          <w:b/>
          <w:bCs/>
          <w:sz w:val="24"/>
          <w:szCs w:val="24"/>
        </w:rPr>
        <w:t>3</w:t>
      </w:r>
      <w:r>
        <w:rPr>
          <w:rFonts w:hint="eastAsia" w:ascii="宋体" w:hAnsi="宋体" w:cs="宋体"/>
          <w:b/>
          <w:bCs/>
          <w:sz w:val="24"/>
          <w:szCs w:val="24"/>
        </w:rPr>
        <w:t>.</w:t>
      </w:r>
      <w:r>
        <w:rPr>
          <w:rStyle w:val="10"/>
          <w:rFonts w:hint="eastAsia" w:ascii="宋体" w:hAnsi="宋体" w:cs="宋体"/>
          <w:sz w:val="24"/>
          <w:szCs w:val="24"/>
        </w:rPr>
        <w:t>磋商费用</w:t>
      </w:r>
    </w:p>
    <w:p>
      <w:pPr>
        <w:pStyle w:val="3"/>
        <w:adjustRightInd w:val="0"/>
        <w:snapToGrid w:val="0"/>
        <w:spacing w:line="500" w:lineRule="exact"/>
        <w:ind w:firstLine="480" w:firstLineChars="200"/>
        <w:rPr>
          <w:rFonts w:hAnsi="宋体"/>
          <w:sz w:val="24"/>
          <w:szCs w:val="24"/>
        </w:rPr>
      </w:pPr>
      <w:bookmarkStart w:id="23" w:name="_Toc528494277"/>
      <w:r>
        <w:rPr>
          <w:rFonts w:hint="eastAsia" w:hAnsi="宋体"/>
          <w:kern w:val="0"/>
          <w:sz w:val="24"/>
          <w:szCs w:val="24"/>
        </w:rPr>
        <w:t>响应人</w:t>
      </w:r>
      <w:r>
        <w:rPr>
          <w:rFonts w:hint="eastAsia" w:hAnsi="宋体"/>
          <w:sz w:val="24"/>
          <w:szCs w:val="24"/>
        </w:rPr>
        <w:t>应承担所有与准备和参加磋商有关的费用。不论磋商结果如何，采购人均无义务和责任承担以上费用。</w:t>
      </w:r>
    </w:p>
    <w:p>
      <w:pPr>
        <w:pStyle w:val="3"/>
        <w:adjustRightInd w:val="0"/>
        <w:snapToGrid w:val="0"/>
        <w:spacing w:line="500" w:lineRule="exact"/>
        <w:rPr>
          <w:rFonts w:ascii="Cambria" w:hAnsi="宋体" w:cs="宋体"/>
          <w:b/>
          <w:bCs/>
          <w:kern w:val="28"/>
          <w:sz w:val="24"/>
          <w:szCs w:val="24"/>
        </w:rPr>
      </w:pPr>
      <w:r>
        <w:rPr>
          <w:rStyle w:val="10"/>
          <w:rFonts w:hint="eastAsia" w:hAnsi="宋体" w:cs="宋体"/>
          <w:sz w:val="24"/>
          <w:szCs w:val="24"/>
        </w:rPr>
        <w:t>二、磋商文件</w:t>
      </w:r>
      <w:bookmarkEnd w:id="23"/>
      <w:r>
        <w:rPr>
          <w:rStyle w:val="10"/>
          <w:rFonts w:hint="eastAsia" w:hAnsi="宋体" w:cs="宋体"/>
          <w:sz w:val="24"/>
          <w:szCs w:val="24"/>
        </w:rPr>
        <w:t>的澄清与修改</w:t>
      </w:r>
    </w:p>
    <w:p>
      <w:pPr>
        <w:pStyle w:val="3"/>
        <w:snapToGrid w:val="0"/>
        <w:spacing w:line="500" w:lineRule="exact"/>
        <w:rPr>
          <w:rFonts w:hAnsi="宋体" w:cs="宋体"/>
          <w:sz w:val="24"/>
        </w:rPr>
      </w:pPr>
      <w:r>
        <w:rPr>
          <w:rFonts w:hAnsi="宋体" w:cs="宋体"/>
          <w:sz w:val="24"/>
        </w:rPr>
        <w:t>1</w:t>
      </w:r>
      <w:r>
        <w:rPr>
          <w:rFonts w:hint="eastAsia" w:hAnsi="宋体" w:cs="宋体"/>
          <w:sz w:val="24"/>
        </w:rPr>
        <w:t>.提交首次响应文件截止之日前，采购人、采购代理机构可以对本竞争性磋商采购文件进行必要的修改，修改的内容是磋商文件的组成部分，采购代理机构将以书面或网上发布公告形式通知所有磋商供应商。</w:t>
      </w:r>
    </w:p>
    <w:p>
      <w:pPr>
        <w:pStyle w:val="3"/>
        <w:snapToGrid w:val="0"/>
        <w:spacing w:line="500" w:lineRule="exact"/>
        <w:rPr>
          <w:rFonts w:hAnsi="宋体" w:cs="宋体"/>
          <w:sz w:val="24"/>
        </w:rPr>
      </w:pPr>
      <w:r>
        <w:rPr>
          <w:rFonts w:hint="eastAsia" w:hAnsi="宋体" w:cs="宋体"/>
          <w:sz w:val="24"/>
        </w:rPr>
        <w:t>2.磋商文件、磋商文件澄清（答疑）纪要、磋商文件修改补充通知书内容均以书面明确的内容为准。当磋商文件、修改补充通知、澄清（答疑）纪要内容不一致时，以最后发出的通知、纪要或修改文件为准。</w:t>
      </w:r>
    </w:p>
    <w:p>
      <w:pPr>
        <w:pStyle w:val="3"/>
        <w:snapToGrid w:val="0"/>
        <w:spacing w:line="500" w:lineRule="exact"/>
        <w:rPr>
          <w:rFonts w:hAnsi="宋体" w:cs="宋体"/>
          <w:sz w:val="24"/>
        </w:rPr>
      </w:pPr>
      <w:r>
        <w:rPr>
          <w:rFonts w:hint="eastAsia" w:hAnsi="宋体" w:cs="宋体"/>
          <w:sz w:val="24"/>
        </w:rPr>
        <w:t>3.澄清或者修改的内容可能影响响应文件编制的，修改文件应当在提交首次响应文件截止之日3个工作日前发出，不足3个工作日的，采购人、采购代理机构将顺延提交首次响应文件截止之日。</w:t>
      </w:r>
    </w:p>
    <w:p>
      <w:pPr>
        <w:spacing w:line="500" w:lineRule="exact"/>
        <w:rPr>
          <w:rFonts w:ascii="宋体" w:hAnsi="宋体" w:cs="宋体"/>
          <w:sz w:val="24"/>
        </w:rPr>
      </w:pPr>
      <w:r>
        <w:rPr>
          <w:rFonts w:hint="eastAsia" w:ascii="宋体" w:hAnsi="宋体" w:cs="宋体"/>
          <w:sz w:val="24"/>
        </w:rPr>
        <w:t>4.磋商修改文件是竞争性磋商文件的组成部分，对所有提交了竞争性磋商响应文件的供应商具有约束力。</w:t>
      </w:r>
    </w:p>
    <w:p>
      <w:pPr>
        <w:pStyle w:val="3"/>
        <w:snapToGrid w:val="0"/>
        <w:spacing w:line="500" w:lineRule="exact"/>
        <w:rPr>
          <w:rFonts w:hAnsi="宋体" w:cs="宋体"/>
          <w:sz w:val="24"/>
        </w:rPr>
      </w:pPr>
      <w:r>
        <w:rPr>
          <w:rFonts w:hint="eastAsia" w:hAnsi="宋体" w:cs="宋体"/>
          <w:sz w:val="24"/>
        </w:rPr>
        <w:t>5.</w:t>
      </w:r>
      <w:r>
        <w:rPr>
          <w:rFonts w:hint="eastAsia" w:hAnsi="宋体" w:cs="宋体"/>
          <w:sz w:val="24"/>
          <w:lang w:val="zh-CN"/>
        </w:rPr>
        <w:t>供应商要求对本竞争性磋商采购文件进行澄清的</w:t>
      </w:r>
      <w:r>
        <w:rPr>
          <w:rFonts w:hint="eastAsia" w:hAnsi="宋体" w:cs="宋体"/>
          <w:sz w:val="24"/>
        </w:rPr>
        <w:t>，</w:t>
      </w:r>
      <w:r>
        <w:rPr>
          <w:rFonts w:hint="eastAsia" w:hAnsi="宋体" w:cs="宋体"/>
          <w:sz w:val="24"/>
          <w:lang w:val="zh-CN"/>
        </w:rPr>
        <w:t>应以书面形式在提疑截止时间以前向采购代理机构或采购人提出</w:t>
      </w:r>
      <w:r>
        <w:rPr>
          <w:rFonts w:hint="eastAsia" w:hAnsi="宋体" w:cs="宋体"/>
          <w:sz w:val="24"/>
        </w:rPr>
        <w:t>，</w:t>
      </w:r>
      <w:r>
        <w:rPr>
          <w:rFonts w:hint="eastAsia" w:hAnsi="宋体" w:cs="宋体"/>
          <w:sz w:val="24"/>
          <w:lang w:val="zh-CN"/>
        </w:rPr>
        <w:t>提疑截止时间</w:t>
      </w:r>
      <w:r>
        <w:rPr>
          <w:rFonts w:hint="eastAsia" w:hAnsi="宋体" w:cs="宋体"/>
          <w:sz w:val="24"/>
        </w:rPr>
        <w:t>为提交首次响应文件截止之日5日前，在</w:t>
      </w:r>
      <w:r>
        <w:rPr>
          <w:rFonts w:hint="eastAsia" w:hAnsi="宋体" w:cs="宋体"/>
          <w:sz w:val="24"/>
          <w:lang w:val="zh-CN"/>
        </w:rPr>
        <w:t>提疑截止时间</w:t>
      </w:r>
      <w:r>
        <w:rPr>
          <w:rFonts w:hint="eastAsia" w:hAnsi="宋体" w:cs="宋体"/>
          <w:sz w:val="24"/>
        </w:rPr>
        <w:t>前未提出的视为认同本文件内容，在截止时间之后提出的不予受理。</w:t>
      </w:r>
    </w:p>
    <w:p>
      <w:pPr>
        <w:spacing w:line="500" w:lineRule="exact"/>
        <w:rPr>
          <w:rStyle w:val="10"/>
          <w:rFonts w:ascii="宋体" w:hAnsi="宋体" w:cs="宋体"/>
          <w:sz w:val="24"/>
          <w:szCs w:val="24"/>
        </w:rPr>
      </w:pPr>
      <w:bookmarkStart w:id="24" w:name="_Toc528494278"/>
      <w:r>
        <w:rPr>
          <w:rStyle w:val="10"/>
          <w:rFonts w:hint="eastAsia" w:ascii="宋体" w:hAnsi="宋体" w:cs="宋体"/>
          <w:sz w:val="24"/>
          <w:szCs w:val="24"/>
        </w:rPr>
        <w:t>三、竞争性磋商响应文件</w:t>
      </w:r>
      <w:bookmarkEnd w:id="24"/>
    </w:p>
    <w:p>
      <w:pPr>
        <w:spacing w:line="500" w:lineRule="exact"/>
        <w:rPr>
          <w:rFonts w:ascii="宋体" w:hAnsi="宋体" w:cs="宋体"/>
          <w:b/>
          <w:bCs/>
          <w:sz w:val="28"/>
          <w:szCs w:val="28"/>
        </w:rPr>
      </w:pPr>
      <w:r>
        <w:rPr>
          <w:rFonts w:ascii="宋体" w:hAnsi="宋体" w:cs="宋体"/>
          <w:b/>
          <w:bCs/>
          <w:sz w:val="24"/>
          <w:szCs w:val="24"/>
        </w:rPr>
        <w:t>1</w:t>
      </w:r>
      <w:r>
        <w:rPr>
          <w:rFonts w:hint="eastAsia" w:ascii="宋体" w:hAnsi="宋体" w:cs="宋体"/>
          <w:b/>
          <w:bCs/>
          <w:sz w:val="24"/>
          <w:szCs w:val="24"/>
        </w:rPr>
        <w:t>.</w:t>
      </w:r>
      <w:r>
        <w:rPr>
          <w:rStyle w:val="10"/>
          <w:rFonts w:hint="eastAsia" w:ascii="宋体" w:hAnsi="宋体" w:cs="宋体"/>
          <w:sz w:val="24"/>
          <w:szCs w:val="24"/>
        </w:rPr>
        <w:t>磋商响应文件的编制</w:t>
      </w:r>
    </w:p>
    <w:p>
      <w:pPr>
        <w:spacing w:line="500" w:lineRule="exact"/>
        <w:rPr>
          <w:rFonts w:ascii="宋体" w:hAnsi="宋体" w:cs="宋体"/>
          <w:sz w:val="24"/>
        </w:rPr>
      </w:pPr>
      <w:r>
        <w:rPr>
          <w:rFonts w:hint="eastAsia" w:ascii="宋体" w:hAnsi="宋体" w:cs="宋体"/>
          <w:sz w:val="24"/>
        </w:rPr>
        <w:t>1.1竞争性磋商响应文件必须按本文件的全部内容编制，包括所有的补充通知及附件。</w:t>
      </w:r>
    </w:p>
    <w:p>
      <w:pPr>
        <w:spacing w:line="500" w:lineRule="exact"/>
        <w:rPr>
          <w:rFonts w:ascii="宋体" w:hAnsi="宋体" w:cs="宋体"/>
          <w:sz w:val="24"/>
        </w:rPr>
      </w:pPr>
      <w:r>
        <w:rPr>
          <w:rFonts w:hint="eastAsia" w:ascii="宋体" w:hAnsi="宋体" w:cs="宋体"/>
          <w:sz w:val="24"/>
        </w:rPr>
        <w:t>1.2竞争性磋商响应文件应使用中文，磋商供应商提交的支持文件和印刷的文献可以使用别的语言，但其相应内容必须附有中文翻译文本，在解释竞争性磋商响应文件时以翻译文本为主。</w:t>
      </w:r>
    </w:p>
    <w:p>
      <w:pPr>
        <w:spacing w:line="500" w:lineRule="exact"/>
        <w:rPr>
          <w:rFonts w:ascii="宋体" w:hAnsi="宋体" w:cs="宋体"/>
          <w:sz w:val="24"/>
        </w:rPr>
      </w:pPr>
      <w:r>
        <w:rPr>
          <w:rFonts w:hint="eastAsia" w:ascii="宋体" w:hAnsi="宋体" w:cs="宋体"/>
          <w:sz w:val="24"/>
        </w:rPr>
        <w:t>1.3因磋商供应商只提供本文件要求的部分内容，给评审造成困难，其可能导致的结果和责任由磋商供应商自行承担。</w:t>
      </w:r>
    </w:p>
    <w:p>
      <w:pPr>
        <w:spacing w:line="500" w:lineRule="exact"/>
        <w:rPr>
          <w:rFonts w:ascii="宋体" w:hAnsi="宋体" w:cs="宋体"/>
          <w:sz w:val="24"/>
        </w:rPr>
      </w:pPr>
      <w:r>
        <w:rPr>
          <w:rFonts w:hint="eastAsia" w:ascii="宋体" w:hAnsi="宋体" w:cs="宋体"/>
          <w:sz w:val="24"/>
        </w:rPr>
        <w:t>1.4供应商编制的竞争性磋商响应件应包括但不少于下列内容：</w:t>
      </w:r>
    </w:p>
    <w:p>
      <w:pPr>
        <w:widowControl/>
        <w:spacing w:line="500" w:lineRule="exact"/>
        <w:jc w:val="left"/>
        <w:rPr>
          <w:rFonts w:ascii="宋体" w:hAnsi="宋体" w:cs="宋体"/>
          <w:sz w:val="24"/>
        </w:rPr>
      </w:pPr>
      <w:r>
        <w:rPr>
          <w:rFonts w:hint="eastAsia" w:ascii="宋体" w:hAnsi="宋体" w:cs="宋体"/>
          <w:sz w:val="24"/>
        </w:rPr>
        <w:t>（1）</w:t>
      </w:r>
      <w:r>
        <w:rPr>
          <w:rFonts w:hint="eastAsia" w:ascii="宋体" w:hAnsi="宋体" w:cs="宋体"/>
          <w:kern w:val="0"/>
          <w:sz w:val="24"/>
        </w:rPr>
        <w:t>前述</w:t>
      </w:r>
      <w:r>
        <w:rPr>
          <w:rFonts w:hint="eastAsia" w:ascii="宋体" w:hAnsi="宋体" w:cs="宋体"/>
          <w:sz w:val="24"/>
        </w:rPr>
        <w:t>“供应商资格要求”中全部内容。</w:t>
      </w:r>
    </w:p>
    <w:p>
      <w:pPr>
        <w:widowControl/>
        <w:spacing w:line="500" w:lineRule="exact"/>
        <w:jc w:val="left"/>
        <w:rPr>
          <w:rFonts w:ascii="宋体" w:hAnsi="宋体" w:cs="宋体"/>
          <w:kern w:val="0"/>
          <w:sz w:val="24"/>
        </w:rPr>
      </w:pPr>
      <w:r>
        <w:rPr>
          <w:rFonts w:hint="eastAsia" w:ascii="宋体" w:hAnsi="宋体" w:cs="宋体"/>
          <w:sz w:val="24"/>
        </w:rPr>
        <w:t>（2）</w:t>
      </w:r>
      <w:r>
        <w:rPr>
          <w:rFonts w:hint="eastAsia" w:ascii="宋体" w:hAnsi="宋体"/>
          <w:sz w:val="24"/>
        </w:rPr>
        <w:t>供应商</w:t>
      </w:r>
      <w:r>
        <w:rPr>
          <w:rFonts w:hint="eastAsia" w:ascii="宋体" w:hAnsi="宋体" w:cs="宋体"/>
          <w:kern w:val="0"/>
          <w:sz w:val="24"/>
        </w:rPr>
        <w:t>法人身份证及授权委托书原件。</w:t>
      </w:r>
    </w:p>
    <w:p>
      <w:pPr>
        <w:widowControl/>
        <w:spacing w:line="500" w:lineRule="exact"/>
        <w:jc w:val="left"/>
        <w:rPr>
          <w:rFonts w:ascii="宋体" w:hAnsi="宋体" w:cs="宋体"/>
          <w:sz w:val="24"/>
        </w:rPr>
      </w:pPr>
      <w:r>
        <w:rPr>
          <w:rFonts w:hint="eastAsia" w:ascii="宋体" w:hAnsi="宋体" w:cs="宋体"/>
          <w:sz w:val="24"/>
        </w:rPr>
        <w:t>（3）磋商响应书。</w:t>
      </w:r>
    </w:p>
    <w:p>
      <w:pPr>
        <w:widowControl/>
        <w:spacing w:line="500" w:lineRule="exact"/>
        <w:jc w:val="left"/>
        <w:rPr>
          <w:rFonts w:ascii="宋体" w:hAnsi="宋体" w:cs="宋体"/>
          <w:sz w:val="24"/>
        </w:rPr>
      </w:pPr>
      <w:r>
        <w:rPr>
          <w:rFonts w:hint="eastAsia" w:ascii="宋体" w:hAnsi="宋体" w:cs="宋体"/>
          <w:sz w:val="24"/>
        </w:rPr>
        <w:t>（4）磋商报价表（首次报价）。</w:t>
      </w:r>
    </w:p>
    <w:p>
      <w:pPr>
        <w:widowControl/>
        <w:spacing w:line="500" w:lineRule="exact"/>
        <w:jc w:val="left"/>
        <w:rPr>
          <w:rFonts w:ascii="宋体" w:hAnsi="宋体" w:cs="宋体"/>
          <w:sz w:val="24"/>
        </w:rPr>
      </w:pPr>
      <w:r>
        <w:rPr>
          <w:rFonts w:hint="eastAsia" w:ascii="宋体" w:hAnsi="宋体" w:cs="宋体"/>
          <w:sz w:val="24"/>
        </w:rPr>
        <w:t>（5）技术响应、偏离说明表。</w:t>
      </w:r>
    </w:p>
    <w:p>
      <w:pPr>
        <w:widowControl/>
        <w:spacing w:line="500" w:lineRule="exact"/>
        <w:jc w:val="left"/>
        <w:rPr>
          <w:rFonts w:ascii="宋体" w:hAnsi="宋体" w:cs="宋体"/>
          <w:sz w:val="24"/>
        </w:rPr>
      </w:pPr>
      <w:r>
        <w:rPr>
          <w:rFonts w:hint="eastAsia" w:ascii="宋体" w:hAnsi="宋体" w:cs="宋体"/>
          <w:sz w:val="24"/>
        </w:rPr>
        <w:t>（6）商务响应、偏离说明表。</w:t>
      </w:r>
    </w:p>
    <w:p>
      <w:pPr>
        <w:spacing w:line="500" w:lineRule="exact"/>
        <w:rPr>
          <w:rFonts w:ascii="宋体" w:hAnsi="宋体" w:cs="宋体"/>
          <w:kern w:val="0"/>
          <w:sz w:val="24"/>
        </w:rPr>
      </w:pPr>
      <w:r>
        <w:rPr>
          <w:rFonts w:hint="eastAsia" w:ascii="宋体" w:hAnsi="宋体" w:cs="宋体"/>
          <w:sz w:val="24"/>
        </w:rPr>
        <w:t>（7）磋商供应商认为需要提供的其他相关资料。</w:t>
      </w:r>
    </w:p>
    <w:p>
      <w:pPr>
        <w:spacing w:line="500" w:lineRule="exact"/>
        <w:rPr>
          <w:rFonts w:ascii="宋体" w:hAnsi="宋体" w:cs="宋体"/>
          <w:sz w:val="24"/>
        </w:rPr>
      </w:pPr>
      <w:r>
        <w:rPr>
          <w:rFonts w:hint="eastAsia" w:ascii="宋体" w:hAnsi="宋体" w:cs="宋体"/>
          <w:sz w:val="24"/>
        </w:rPr>
        <w:t>1.5</w:t>
      </w:r>
      <w:r>
        <w:rPr>
          <w:rFonts w:hint="eastAsia"/>
          <w:bCs/>
          <w:sz w:val="24"/>
          <w:szCs w:val="24"/>
        </w:rPr>
        <w:t>计量单位</w:t>
      </w:r>
    </w:p>
    <w:p>
      <w:pPr>
        <w:spacing w:line="500" w:lineRule="exact"/>
        <w:ind w:firstLine="480" w:firstLineChars="200"/>
        <w:rPr>
          <w:rFonts w:ascii="宋体" w:hAnsi="宋体" w:cs="宋体"/>
          <w:bCs/>
          <w:sz w:val="24"/>
        </w:rPr>
      </w:pPr>
      <w:r>
        <w:rPr>
          <w:rFonts w:hint="eastAsia" w:ascii="宋体" w:hAnsi="宋体" w:cs="宋体"/>
          <w:bCs/>
          <w:sz w:val="24"/>
        </w:rPr>
        <w:t>除技术要求中另有规定外，本文件所要求使用的计量单位均应采用国家法定计量单位。</w:t>
      </w:r>
    </w:p>
    <w:p>
      <w:pPr>
        <w:spacing w:line="500" w:lineRule="exact"/>
        <w:rPr>
          <w:rStyle w:val="10"/>
          <w:rFonts w:ascii="宋体" w:hAnsi="宋体" w:cs="宋体"/>
          <w:sz w:val="24"/>
          <w:szCs w:val="24"/>
        </w:rPr>
      </w:pPr>
      <w:bookmarkStart w:id="25" w:name="_Toc528493165"/>
      <w:bookmarkStart w:id="26" w:name="_Toc528493577"/>
      <w:bookmarkStart w:id="27" w:name="_Toc528493084"/>
      <w:bookmarkStart w:id="28" w:name="_Toc528494280"/>
      <w:bookmarkStart w:id="29" w:name="_Toc528493132"/>
      <w:r>
        <w:rPr>
          <w:rStyle w:val="10"/>
          <w:rFonts w:hint="eastAsia" w:ascii="宋体" w:hAnsi="宋体" w:cs="宋体"/>
          <w:sz w:val="24"/>
          <w:szCs w:val="24"/>
        </w:rPr>
        <w:t>2．磋商报价要求</w:t>
      </w:r>
      <w:bookmarkEnd w:id="25"/>
      <w:bookmarkEnd w:id="26"/>
      <w:bookmarkEnd w:id="27"/>
      <w:bookmarkEnd w:id="28"/>
      <w:bookmarkEnd w:id="29"/>
    </w:p>
    <w:p>
      <w:pPr>
        <w:spacing w:line="500" w:lineRule="exact"/>
        <w:rPr>
          <w:rFonts w:ascii="宋体" w:hAnsi="宋体" w:cs="宋体"/>
          <w:sz w:val="24"/>
        </w:rPr>
      </w:pPr>
      <w:r>
        <w:rPr>
          <w:rFonts w:hint="eastAsia" w:ascii="宋体" w:hAnsi="宋体" w:cs="宋体"/>
          <w:sz w:val="24"/>
        </w:rPr>
        <w:t>2.1对于本文件中未列明，而磋商供应商认为必需的费用也需列入总报价。在合同实施时，采购人将不予支付成交供应商没有列入总报价的费用。</w:t>
      </w:r>
    </w:p>
    <w:p>
      <w:pPr>
        <w:spacing w:line="500" w:lineRule="exact"/>
        <w:rPr>
          <w:rFonts w:ascii="宋体" w:hAnsi="宋体" w:cs="宋体"/>
          <w:b/>
          <w:kern w:val="0"/>
          <w:sz w:val="24"/>
        </w:rPr>
      </w:pPr>
      <w:r>
        <w:rPr>
          <w:rFonts w:hint="eastAsia" w:ascii="宋体" w:hAnsi="宋体" w:cs="宋体"/>
          <w:sz w:val="24"/>
        </w:rPr>
        <w:t>2.2</w:t>
      </w:r>
      <w:r>
        <w:rPr>
          <w:rFonts w:hint="eastAsia" w:ascii="宋体" w:hAnsi="宋体" w:cs="宋体"/>
          <w:kern w:val="0"/>
          <w:sz w:val="24"/>
        </w:rPr>
        <w:t>供应商以人民币报价。</w:t>
      </w:r>
    </w:p>
    <w:p>
      <w:pPr>
        <w:spacing w:line="500" w:lineRule="exact"/>
        <w:rPr>
          <w:rFonts w:ascii="宋体" w:hAnsi="宋体" w:cs="宋体"/>
          <w:sz w:val="24"/>
        </w:rPr>
      </w:pPr>
      <w:r>
        <w:rPr>
          <w:rFonts w:hint="eastAsia" w:ascii="宋体" w:hAnsi="宋体" w:cs="宋体"/>
          <w:sz w:val="24"/>
        </w:rPr>
        <w:t>2.3磋商报价包括磋商供应商在首次提交的响应文件中的报价、磋商过程中的报价和最终报价。</w:t>
      </w:r>
    </w:p>
    <w:p>
      <w:pPr>
        <w:spacing w:line="500" w:lineRule="exact"/>
        <w:rPr>
          <w:rFonts w:ascii="宋体" w:hAnsi="宋体" w:cs="宋体"/>
          <w:b/>
          <w:bCs/>
          <w:sz w:val="24"/>
          <w:szCs w:val="24"/>
        </w:rPr>
      </w:pPr>
      <w:r>
        <w:rPr>
          <w:rFonts w:hint="eastAsia" w:ascii="宋体" w:hAnsi="宋体" w:cs="宋体"/>
          <w:b/>
          <w:bCs/>
          <w:sz w:val="24"/>
          <w:szCs w:val="24"/>
        </w:rPr>
        <w:t>3.磋商响应文件的份数和封装</w:t>
      </w:r>
    </w:p>
    <w:p>
      <w:pPr>
        <w:spacing w:line="500" w:lineRule="exact"/>
        <w:rPr>
          <w:rFonts w:ascii="宋体" w:hAnsi="宋体" w:cs="宋体"/>
          <w:bCs/>
          <w:sz w:val="24"/>
        </w:rPr>
      </w:pPr>
      <w:r>
        <w:rPr>
          <w:rFonts w:hint="eastAsia" w:ascii="宋体" w:hAnsi="宋体" w:cs="宋体"/>
          <w:bCs/>
          <w:sz w:val="24"/>
        </w:rPr>
        <w:t>3.1磋商供应商应编制竞争性磋商响应文件一式肆份，正本壹份、副本叁份，每份文件注明“正本”、“副本”字样。磋商响应文件的副本与正本不符，以正本为准。磋商响应文件的正本和所有副本应单独密封。</w:t>
      </w:r>
    </w:p>
    <w:p>
      <w:pPr>
        <w:spacing w:line="500" w:lineRule="exact"/>
        <w:rPr>
          <w:rFonts w:ascii="宋体" w:hAnsi="宋体" w:cs="宋体"/>
          <w:bCs/>
          <w:sz w:val="24"/>
        </w:rPr>
      </w:pPr>
      <w:r>
        <w:rPr>
          <w:rFonts w:hint="eastAsia" w:ascii="宋体" w:hAnsi="宋体" w:cs="宋体"/>
          <w:bCs/>
          <w:sz w:val="24"/>
        </w:rPr>
        <w:t>3.2 为方便记录，磋商报价表（首次报价）除保留在竞争性磋商响应文件中外还应单独密封，单独提交，信封上标明“磋商报价表（首次报价）”等字样。</w:t>
      </w:r>
    </w:p>
    <w:p>
      <w:pPr>
        <w:spacing w:line="500" w:lineRule="exact"/>
        <w:rPr>
          <w:rFonts w:ascii="宋体" w:hAnsi="宋体" w:cs="宋体"/>
          <w:bCs/>
          <w:sz w:val="24"/>
          <w:szCs w:val="22"/>
        </w:rPr>
      </w:pPr>
      <w:r>
        <w:rPr>
          <w:rFonts w:hint="eastAsia" w:ascii="宋体" w:hAnsi="宋体" w:cs="宋体"/>
          <w:bCs/>
          <w:sz w:val="24"/>
          <w:szCs w:val="22"/>
        </w:rPr>
        <w:t>3.3竞争性磋商响应文件的密封袋上应写明竞争性磋商项目名称及磋商供应商名称并加盖公章。</w:t>
      </w:r>
    </w:p>
    <w:p>
      <w:pPr>
        <w:widowControl/>
        <w:spacing w:line="360" w:lineRule="auto"/>
        <w:jc w:val="left"/>
        <w:rPr>
          <w:rFonts w:ascii="宋体" w:hAnsi="宋体" w:cs="宋体"/>
          <w:kern w:val="0"/>
          <w:sz w:val="24"/>
        </w:rPr>
      </w:pPr>
      <w:r>
        <w:rPr>
          <w:rFonts w:hint="eastAsia" w:ascii="宋体" w:hAnsi="宋体"/>
          <w:sz w:val="24"/>
        </w:rPr>
        <w:t>3.4 供应商必须保证</w:t>
      </w:r>
      <w:r>
        <w:rPr>
          <w:rFonts w:hint="eastAsia" w:ascii="宋体" w:hAnsi="宋体" w:cs="宋体"/>
          <w:bCs/>
          <w:sz w:val="24"/>
          <w:szCs w:val="22"/>
        </w:rPr>
        <w:t>竞争性磋商响应文件</w:t>
      </w:r>
      <w:r>
        <w:rPr>
          <w:rFonts w:hint="eastAsia" w:ascii="宋体" w:hAnsi="宋体"/>
          <w:sz w:val="24"/>
        </w:rPr>
        <w:t>所提供的全部资料真实可靠，并接受采购人或代理机构对其中任何资料的核实要求。如果因为</w:t>
      </w:r>
      <w:r>
        <w:rPr>
          <w:rFonts w:hint="eastAsia" w:ascii="宋体" w:hAnsi="宋体" w:cs="宋体"/>
          <w:bCs/>
          <w:sz w:val="24"/>
          <w:szCs w:val="22"/>
        </w:rPr>
        <w:t>竞争性磋商响应文件</w:t>
      </w:r>
      <w:r>
        <w:rPr>
          <w:rFonts w:hint="eastAsia" w:ascii="宋体" w:hAnsi="宋体"/>
          <w:sz w:val="24"/>
        </w:rPr>
        <w:t>内容不详，或没有提供</w:t>
      </w:r>
      <w:r>
        <w:rPr>
          <w:rFonts w:hint="eastAsia" w:ascii="宋体" w:hAnsi="宋体" w:cs="宋体"/>
          <w:bCs/>
          <w:sz w:val="24"/>
          <w:szCs w:val="22"/>
        </w:rPr>
        <w:t>竞争性磋商响应文件</w:t>
      </w:r>
      <w:r>
        <w:rPr>
          <w:rFonts w:hint="eastAsia" w:ascii="宋体" w:hAnsi="宋体"/>
          <w:sz w:val="24"/>
        </w:rPr>
        <w:t>中所要求的资料及数据，或提供</w:t>
      </w:r>
      <w:r>
        <w:rPr>
          <w:rFonts w:hint="eastAsia" w:ascii="宋体" w:hAnsi="宋体" w:cs="宋体"/>
          <w:kern w:val="0"/>
          <w:sz w:val="24"/>
        </w:rPr>
        <w:t>虚假文件，由此造成的后果由供应商负责。</w:t>
      </w:r>
    </w:p>
    <w:p>
      <w:pPr>
        <w:spacing w:line="500" w:lineRule="exact"/>
        <w:rPr>
          <w:rFonts w:ascii="宋体" w:hAnsi="宋体" w:cs="宋体"/>
          <w:b/>
          <w:bCs/>
          <w:sz w:val="24"/>
          <w:szCs w:val="24"/>
        </w:rPr>
      </w:pPr>
      <w:r>
        <w:rPr>
          <w:rFonts w:hint="eastAsia" w:ascii="宋体" w:hAnsi="宋体" w:cs="宋体"/>
          <w:b/>
          <w:bCs/>
          <w:sz w:val="24"/>
          <w:szCs w:val="24"/>
        </w:rPr>
        <w:t>4．磋商响应文件的递交</w:t>
      </w:r>
    </w:p>
    <w:p>
      <w:pPr>
        <w:spacing w:line="500" w:lineRule="exact"/>
        <w:rPr>
          <w:rFonts w:ascii="宋体" w:hAnsi="宋体" w:cs="宋体"/>
          <w:bCs/>
          <w:sz w:val="24"/>
        </w:rPr>
      </w:pPr>
      <w:r>
        <w:rPr>
          <w:rFonts w:hint="eastAsia" w:ascii="宋体" w:hAnsi="宋体" w:cs="宋体"/>
          <w:bCs/>
          <w:sz w:val="24"/>
        </w:rPr>
        <w:t>4.1所有竞争性磋商响应文件应按规定时间，由磋商代表递交到规定的地点。</w:t>
      </w:r>
    </w:p>
    <w:p>
      <w:pPr>
        <w:spacing w:line="500" w:lineRule="exact"/>
        <w:rPr>
          <w:rFonts w:ascii="宋体" w:hAnsi="宋体" w:cs="宋体"/>
          <w:sz w:val="24"/>
        </w:rPr>
      </w:pPr>
      <w:r>
        <w:rPr>
          <w:rFonts w:hint="eastAsia" w:ascii="宋体" w:hAnsi="宋体" w:cs="宋体"/>
          <w:bCs/>
          <w:sz w:val="24"/>
        </w:rPr>
        <w:t>4.2</w:t>
      </w:r>
      <w:r>
        <w:rPr>
          <w:rFonts w:hint="eastAsia" w:ascii="宋体" w:hAnsi="宋体" w:cs="宋体"/>
          <w:sz w:val="24"/>
        </w:rPr>
        <w:t>供应商必须派授权代表参加磋商会议，递交磋商响应文件时应出具法定代表人合法有效的授权委托书和身份证明（如法定代表人到场只需提供法定代表人身份证明）。</w:t>
      </w:r>
    </w:p>
    <w:p>
      <w:pPr>
        <w:spacing w:line="500" w:lineRule="exact"/>
        <w:rPr>
          <w:rFonts w:ascii="宋体" w:hAnsi="宋体" w:cs="宋体"/>
          <w:bCs/>
          <w:sz w:val="24"/>
        </w:rPr>
      </w:pPr>
      <w:r>
        <w:rPr>
          <w:rFonts w:hint="eastAsia" w:ascii="宋体" w:hAnsi="宋体" w:cs="宋体"/>
          <w:bCs/>
          <w:sz w:val="24"/>
        </w:rPr>
        <w:t>4.3</w:t>
      </w:r>
      <w:r>
        <w:rPr>
          <w:rFonts w:hint="eastAsia" w:ascii="宋体" w:hAnsi="宋体" w:cs="宋体"/>
          <w:sz w:val="24"/>
        </w:rPr>
        <w:t>磋商响应文件用纸外形尺寸统一为A4规格。</w:t>
      </w:r>
    </w:p>
    <w:p>
      <w:pPr>
        <w:spacing w:line="500" w:lineRule="exact"/>
        <w:rPr>
          <w:rFonts w:ascii="宋体" w:hAnsi="宋体" w:cs="宋体"/>
          <w:sz w:val="24"/>
        </w:rPr>
      </w:pPr>
      <w:r>
        <w:rPr>
          <w:rFonts w:hint="eastAsia" w:ascii="宋体" w:hAnsi="宋体" w:cs="宋体"/>
          <w:sz w:val="24"/>
        </w:rPr>
        <w:t>4.4按《中华人民共和国政府采购法》规定，采购人或代理机构将拒绝或原封退回在其规定的递交竞争性磋商响应文件截止时间之后收到的任何竞争性磋商响应文件。</w:t>
      </w:r>
    </w:p>
    <w:p>
      <w:pPr>
        <w:autoSpaceDE w:val="0"/>
        <w:autoSpaceDN w:val="0"/>
        <w:adjustRightInd w:val="0"/>
        <w:snapToGrid w:val="0"/>
        <w:spacing w:before="3" w:line="500" w:lineRule="exact"/>
        <w:ind w:right="32"/>
        <w:rPr>
          <w:rFonts w:ascii="宋体" w:hAnsi="宋体" w:cs="宋体"/>
          <w:kern w:val="0"/>
          <w:sz w:val="24"/>
        </w:rPr>
      </w:pPr>
      <w:r>
        <w:rPr>
          <w:rFonts w:hint="eastAsia" w:ascii="宋体" w:hAnsi="宋体" w:cs="宋体"/>
          <w:kern w:val="0"/>
          <w:sz w:val="24"/>
        </w:rPr>
        <w:t>4.5供应商在递交响应文件后，在响应文件递交截止时间之前，可以撤回其响应文件，但必须提前以书面形式告知。</w:t>
      </w:r>
    </w:p>
    <w:p>
      <w:pPr>
        <w:pStyle w:val="3"/>
        <w:adjustRightInd w:val="0"/>
        <w:snapToGrid w:val="0"/>
        <w:spacing w:line="500" w:lineRule="exact"/>
        <w:ind w:right="32"/>
        <w:rPr>
          <w:rFonts w:hAnsi="宋体" w:cs="宋体"/>
          <w:kern w:val="0"/>
          <w:sz w:val="24"/>
          <w:szCs w:val="24"/>
        </w:rPr>
      </w:pPr>
      <w:r>
        <w:rPr>
          <w:rFonts w:hint="eastAsia" w:hAnsi="宋体" w:cs="宋体"/>
          <w:kern w:val="0"/>
          <w:sz w:val="24"/>
          <w:szCs w:val="24"/>
        </w:rPr>
        <w:t>4.6从磋商响应文件递交截止时间起至磋商文件中确定的磋商有效期期满这段时间内，供应商不得撤回其响应文件。</w:t>
      </w:r>
    </w:p>
    <w:p>
      <w:pPr>
        <w:pStyle w:val="3"/>
        <w:adjustRightInd w:val="0"/>
        <w:snapToGrid w:val="0"/>
        <w:spacing w:line="500" w:lineRule="exact"/>
        <w:ind w:right="32"/>
        <w:rPr>
          <w:rFonts w:hAnsi="宋体" w:cs="宋体"/>
          <w:sz w:val="24"/>
          <w:szCs w:val="24"/>
        </w:rPr>
      </w:pPr>
      <w:r>
        <w:rPr>
          <w:rFonts w:hint="eastAsia" w:hAnsi="宋体" w:cs="宋体"/>
          <w:sz w:val="24"/>
          <w:szCs w:val="24"/>
        </w:rPr>
        <w:t>4.7供应商所提交的响应文件在磋商结束后，无论成交与否都不予退还。</w:t>
      </w:r>
    </w:p>
    <w:p>
      <w:pPr>
        <w:adjustRightInd w:val="0"/>
        <w:snapToGrid w:val="0"/>
        <w:spacing w:line="500" w:lineRule="exact"/>
        <w:rPr>
          <w:rFonts w:ascii="宋体" w:hAnsi="宋体" w:cs="宋体"/>
          <w:b/>
          <w:sz w:val="28"/>
          <w:szCs w:val="28"/>
        </w:rPr>
      </w:pPr>
      <w:r>
        <w:rPr>
          <w:rFonts w:hint="eastAsia" w:ascii="宋体" w:hAnsi="宋体" w:cs="宋体"/>
          <w:b/>
          <w:sz w:val="24"/>
          <w:szCs w:val="24"/>
        </w:rPr>
        <w:t>四</w:t>
      </w:r>
      <w:r>
        <w:rPr>
          <w:rFonts w:hint="eastAsia" w:ascii="宋体" w:hAnsi="宋体" w:cs="宋体"/>
          <w:b/>
          <w:sz w:val="28"/>
          <w:szCs w:val="28"/>
        </w:rPr>
        <w:t>、</w:t>
      </w:r>
      <w:r>
        <w:rPr>
          <w:rStyle w:val="10"/>
          <w:rFonts w:hint="eastAsia" w:ascii="宋体" w:hAnsi="宋体" w:cs="宋体"/>
          <w:sz w:val="24"/>
          <w:szCs w:val="24"/>
        </w:rPr>
        <w:t>磋商有效期</w:t>
      </w:r>
    </w:p>
    <w:p>
      <w:pPr>
        <w:tabs>
          <w:tab w:val="left" w:pos="8280"/>
        </w:tabs>
        <w:autoSpaceDE w:val="0"/>
        <w:autoSpaceDN w:val="0"/>
        <w:adjustRightInd w:val="0"/>
        <w:snapToGrid w:val="0"/>
        <w:spacing w:line="500" w:lineRule="exact"/>
        <w:ind w:right="32" w:firstLine="480" w:firstLineChars="200"/>
        <w:rPr>
          <w:rFonts w:ascii="宋体" w:hAnsi="宋体" w:cs="宋体"/>
          <w:kern w:val="0"/>
          <w:sz w:val="24"/>
        </w:rPr>
      </w:pPr>
      <w:r>
        <w:rPr>
          <w:rFonts w:hint="eastAsia" w:ascii="宋体" w:hAnsi="宋体" w:cs="宋体"/>
          <w:kern w:val="0"/>
          <w:sz w:val="24"/>
        </w:rPr>
        <w:t>磋商有效期为从磋商之日起共30天。</w:t>
      </w:r>
    </w:p>
    <w:p>
      <w:pPr>
        <w:autoSpaceDE w:val="0"/>
        <w:autoSpaceDN w:val="0"/>
        <w:adjustRightInd w:val="0"/>
        <w:snapToGrid w:val="0"/>
        <w:spacing w:line="500" w:lineRule="exact"/>
        <w:ind w:right="32"/>
        <w:rPr>
          <w:rFonts w:ascii="宋体" w:hAnsi="宋体" w:cs="宋体"/>
          <w:b/>
          <w:bCs/>
          <w:sz w:val="24"/>
          <w:szCs w:val="24"/>
        </w:rPr>
      </w:pPr>
      <w:r>
        <w:rPr>
          <w:rFonts w:hint="eastAsia" w:ascii="宋体" w:hAnsi="宋体" w:cs="宋体"/>
          <w:b/>
          <w:bCs/>
          <w:sz w:val="24"/>
          <w:szCs w:val="24"/>
        </w:rPr>
        <w:t>五、磋商办法</w:t>
      </w:r>
    </w:p>
    <w:p>
      <w:pPr>
        <w:autoSpaceDE w:val="0"/>
        <w:autoSpaceDN w:val="0"/>
        <w:adjustRightInd w:val="0"/>
        <w:snapToGrid w:val="0"/>
        <w:spacing w:line="500" w:lineRule="exact"/>
        <w:ind w:right="32"/>
        <w:rPr>
          <w:rFonts w:ascii="宋体" w:hAnsi="宋体" w:cs="宋体"/>
          <w:bCs/>
          <w:kern w:val="0"/>
          <w:sz w:val="24"/>
        </w:rPr>
      </w:pPr>
      <w:r>
        <w:rPr>
          <w:rFonts w:hint="eastAsia" w:ascii="宋体" w:hAnsi="宋体" w:cs="宋体"/>
          <w:bCs/>
          <w:sz w:val="24"/>
        </w:rPr>
        <w:t>1.</w:t>
      </w:r>
      <w:r>
        <w:rPr>
          <w:rFonts w:hint="eastAsia" w:ascii="宋体" w:hAnsi="宋体" w:cs="宋体"/>
          <w:kern w:val="0"/>
          <w:sz w:val="24"/>
        </w:rPr>
        <w:t>磋商小组依照有关法规组建。磋商小组成员由3人单数组成，分别是采购人代表和随机抽取的政府采购专家库的技术、经济等方</w:t>
      </w:r>
      <w:r>
        <w:rPr>
          <w:rFonts w:hint="eastAsia" w:ascii="宋体" w:hAnsi="宋体" w:cs="宋体"/>
          <w:bCs/>
          <w:kern w:val="0"/>
          <w:sz w:val="24"/>
        </w:rPr>
        <w:t>面的评审专家。</w:t>
      </w:r>
    </w:p>
    <w:p>
      <w:pPr>
        <w:autoSpaceDE w:val="0"/>
        <w:autoSpaceDN w:val="0"/>
        <w:adjustRightInd w:val="0"/>
        <w:snapToGrid w:val="0"/>
        <w:spacing w:line="500" w:lineRule="exact"/>
        <w:ind w:right="32"/>
        <w:rPr>
          <w:rFonts w:ascii="宋体" w:hAnsi="宋体" w:cs="宋体"/>
          <w:bCs/>
          <w:kern w:val="0"/>
          <w:sz w:val="24"/>
        </w:rPr>
      </w:pPr>
      <w:r>
        <w:rPr>
          <w:rFonts w:hint="eastAsia" w:ascii="宋体" w:hAnsi="宋体" w:cs="宋体"/>
          <w:bCs/>
          <w:kern w:val="0"/>
          <w:sz w:val="24"/>
        </w:rPr>
        <w:t>2.磋商小组负责对供应商进行符合性审查、商务评审和技术评审。</w:t>
      </w:r>
    </w:p>
    <w:p>
      <w:pPr>
        <w:autoSpaceDE w:val="0"/>
        <w:autoSpaceDN w:val="0"/>
        <w:adjustRightInd w:val="0"/>
        <w:snapToGrid w:val="0"/>
        <w:spacing w:line="500" w:lineRule="exact"/>
        <w:ind w:right="32"/>
        <w:rPr>
          <w:rFonts w:ascii="宋体" w:hAnsi="宋体" w:cs="宋体"/>
          <w:bCs/>
          <w:sz w:val="24"/>
          <w:szCs w:val="24"/>
        </w:rPr>
      </w:pPr>
      <w:r>
        <w:rPr>
          <w:rFonts w:hint="eastAsia" w:ascii="宋体" w:hAnsi="宋体" w:cs="宋体"/>
          <w:kern w:val="0"/>
          <w:sz w:val="24"/>
        </w:rPr>
        <w:t>3.磋商小组</w:t>
      </w:r>
      <w:r>
        <w:rPr>
          <w:rFonts w:hint="eastAsia" w:ascii="宋体" w:hAnsi="宋体" w:cs="宋体"/>
          <w:bCs/>
          <w:sz w:val="24"/>
        </w:rPr>
        <w:t>依据符合性审查表审查各供应商是否符合磋商资格要求。符合要求的供应商进入磋商环节。</w:t>
      </w:r>
    </w:p>
    <w:p>
      <w:pPr>
        <w:autoSpaceDE w:val="0"/>
        <w:autoSpaceDN w:val="0"/>
        <w:adjustRightInd w:val="0"/>
        <w:snapToGrid w:val="0"/>
        <w:spacing w:line="500" w:lineRule="exact"/>
        <w:ind w:right="32"/>
        <w:rPr>
          <w:rFonts w:ascii="宋体" w:hAnsi="宋体" w:cs="宋体"/>
          <w:b/>
          <w:kern w:val="0"/>
          <w:sz w:val="28"/>
          <w:szCs w:val="28"/>
        </w:rPr>
      </w:pPr>
      <w:r>
        <w:rPr>
          <w:rFonts w:hint="eastAsia" w:ascii="宋体" w:hAnsi="宋体" w:cs="宋体"/>
          <w:bCs/>
          <w:sz w:val="24"/>
        </w:rPr>
        <w:t>4.磋商小组应当对响应文件进行评审，并根据磋商文件规定的程序、评定成交的标准等事项与实质性响应磋商文件要求的供应商进行磋商。未实质性响应磋商文件的响应文件按无效处理，磋商小组应当告知有关供应商。</w:t>
      </w:r>
    </w:p>
    <w:p>
      <w:pPr>
        <w:autoSpaceDE w:val="0"/>
        <w:autoSpaceDN w:val="0"/>
        <w:adjustRightInd w:val="0"/>
        <w:snapToGrid w:val="0"/>
        <w:spacing w:line="500" w:lineRule="exact"/>
        <w:ind w:right="32"/>
        <w:rPr>
          <w:rFonts w:ascii="宋体" w:hAnsi="宋体" w:cs="宋体"/>
          <w:kern w:val="0"/>
          <w:sz w:val="24"/>
        </w:rPr>
      </w:pPr>
      <w:r>
        <w:rPr>
          <w:rFonts w:hint="eastAsia" w:ascii="宋体" w:hAnsi="宋体" w:cs="宋体"/>
          <w:kern w:val="0"/>
          <w:sz w:val="24"/>
        </w:rPr>
        <w:t>5.磋商小组按照磋商文件确定的磋商步骤及方法集体与单一的供应商分别进行磋商，磋商顺序现场抽签确定。</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6.第一轮磋商，磋商小组按已确定的磋商顺序，与单一供应商分别就符合采购需求、质量、技术服务、售后服务等进行磋商，并了解其报价组成情况。磋商中，磋商的任何一方不得透露与磋商有关的其他供应商的技术资料、价格和其他的信息。磋商小组一致确定响应供应商符合磋商文件要求的，按磋商文件设定的方法和标准确定成交候选人。</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7.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通知所有参加磋商的供应商。</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8.响应供应商应当按照磋商文件的变动情况和磋商小组的要求重新提交响应文件，并由其法定代表人或授权代表签字或者加盖公章。</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9.第一轮磋商结束后，磋商小组进行合议。根据第一轮磋商掌握的情况，可以对磋商文件进行修改，确定采购内容的详细规格或具体要求，优化采购方案。</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10.磋商小组将磋商文件的修改结果以书面形式通知所有响应供应商，并向响应供应商提供较充分的修正时间。</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11.响应供应商根据第一轮磋商情况和磋商文件修改书面通知，对原响应文件进行修正，并将修正文件签字（盖章）后密封送交磋商小组。超过规定时限未送交的，视同放弃磋商。修正文件与响应文件同具法律效力。</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12.最终报价</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12.1符合条件的响应供应商作最后报价。</w:t>
      </w:r>
    </w:p>
    <w:p>
      <w:pPr>
        <w:spacing w:line="500" w:lineRule="exact"/>
        <w:rPr>
          <w:rFonts w:ascii="宋体" w:hAnsi="宋体" w:cs="宋体"/>
          <w:bCs/>
          <w:sz w:val="24"/>
        </w:rPr>
      </w:pPr>
      <w:r>
        <w:rPr>
          <w:rFonts w:hint="eastAsia" w:ascii="宋体" w:hAnsi="宋体" w:cs="宋体"/>
          <w:bCs/>
          <w:sz w:val="24"/>
        </w:rPr>
        <w:t>12.2在最终报价期间，各供应商之间不得相互协商、讨论。后果严重的将交由监管部门按相关法律法规处罚。</w:t>
      </w:r>
    </w:p>
    <w:p>
      <w:pPr>
        <w:spacing w:line="500" w:lineRule="exact"/>
        <w:rPr>
          <w:rFonts w:ascii="宋体" w:hAnsi="宋体" w:cs="宋体"/>
          <w:bCs/>
          <w:sz w:val="24"/>
        </w:rPr>
      </w:pPr>
      <w:r>
        <w:rPr>
          <w:rFonts w:hint="eastAsia" w:ascii="宋体" w:hAnsi="宋体" w:cs="宋体"/>
          <w:bCs/>
          <w:sz w:val="24"/>
        </w:rPr>
        <w:t>12.3磋商小组要求所有继续参加磋商的供应商在规定时间内提交最终报价，提交最终报价的供应商不得少于3家。</w:t>
      </w:r>
    </w:p>
    <w:p>
      <w:pPr>
        <w:spacing w:line="500" w:lineRule="exact"/>
        <w:rPr>
          <w:rFonts w:ascii="宋体" w:hAnsi="宋体" w:cs="宋体"/>
          <w:bCs/>
          <w:sz w:val="24"/>
        </w:rPr>
      </w:pPr>
      <w:r>
        <w:rPr>
          <w:rFonts w:hint="eastAsia" w:ascii="宋体" w:hAnsi="宋体" w:cs="宋体"/>
          <w:bCs/>
          <w:sz w:val="24"/>
        </w:rPr>
        <w:t>12.4竞争性磋商文件无实质性变动的最终报价不得超过首次报价。已提交响应文件但未在规定时间内进行最终报价的供应商，视为放弃最终报价，以供应商响应文件中的报价为准。</w:t>
      </w:r>
    </w:p>
    <w:p>
      <w:pPr>
        <w:spacing w:line="500" w:lineRule="exact"/>
        <w:rPr>
          <w:rFonts w:ascii="宋体" w:hAnsi="宋体" w:cs="宋体"/>
          <w:bCs/>
          <w:sz w:val="24"/>
        </w:rPr>
      </w:pPr>
      <w:r>
        <w:rPr>
          <w:rFonts w:hint="eastAsia" w:ascii="宋体" w:hAnsi="宋体" w:cs="宋体"/>
          <w:bCs/>
          <w:sz w:val="24"/>
        </w:rPr>
        <w:t>12.5最终报价是供应商响应文件的有效组成部分。</w:t>
      </w:r>
    </w:p>
    <w:p>
      <w:pPr>
        <w:spacing w:line="500" w:lineRule="exact"/>
        <w:rPr>
          <w:rStyle w:val="10"/>
          <w:rFonts w:ascii="宋体" w:hAnsi="宋体" w:cs="宋体"/>
          <w:sz w:val="24"/>
          <w:szCs w:val="24"/>
        </w:rPr>
      </w:pPr>
      <w:bookmarkStart w:id="30" w:name="_Toc528494284"/>
      <w:r>
        <w:rPr>
          <w:rStyle w:val="10"/>
          <w:rFonts w:hint="eastAsia" w:ascii="宋体" w:hAnsi="宋体" w:cs="宋体"/>
          <w:sz w:val="24"/>
          <w:szCs w:val="24"/>
        </w:rPr>
        <w:t>六、确定成交供应商办法</w:t>
      </w:r>
      <w:bookmarkEnd w:id="30"/>
    </w:p>
    <w:p>
      <w:pPr>
        <w:spacing w:line="500" w:lineRule="exact"/>
        <w:rPr>
          <w:rFonts w:ascii="宋体" w:hAnsi="宋体" w:cs="宋体"/>
          <w:b/>
          <w:bCs/>
          <w:sz w:val="24"/>
          <w:szCs w:val="24"/>
        </w:rPr>
      </w:pPr>
      <w:r>
        <w:rPr>
          <w:rFonts w:hint="eastAsia" w:ascii="宋体" w:hAnsi="宋体" w:cs="宋体"/>
          <w:b/>
          <w:bCs/>
          <w:sz w:val="24"/>
          <w:szCs w:val="24"/>
        </w:rPr>
        <w:t>1、本次确定成交供应商的办法为综合评分法</w:t>
      </w:r>
    </w:p>
    <w:p>
      <w:pPr>
        <w:spacing w:line="500" w:lineRule="exact"/>
        <w:rPr>
          <w:rFonts w:ascii="宋体" w:hAnsi="宋体" w:cs="宋体"/>
          <w:bCs/>
          <w:sz w:val="24"/>
        </w:rPr>
      </w:pPr>
      <w:r>
        <w:rPr>
          <w:rFonts w:hint="eastAsia" w:ascii="宋体" w:hAnsi="宋体" w:cs="宋体"/>
          <w:bCs/>
          <w:sz w:val="24"/>
        </w:rPr>
        <w:t>1.1综合评分法是指响应文件满足磋商文件全部实质性要求且按评审因素的量化指标评审得分最高的供应商为成交候选供应商的评审方法。</w:t>
      </w:r>
    </w:p>
    <w:p>
      <w:pPr>
        <w:spacing w:line="500" w:lineRule="exact"/>
        <w:rPr>
          <w:rFonts w:ascii="宋体" w:hAnsi="宋体" w:cs="宋体"/>
          <w:bCs/>
          <w:sz w:val="24"/>
        </w:rPr>
      </w:pPr>
      <w:r>
        <w:rPr>
          <w:rFonts w:hint="eastAsia" w:ascii="宋体" w:hAnsi="宋体" w:cs="宋体"/>
          <w:bCs/>
          <w:sz w:val="24"/>
        </w:rPr>
        <w:t>1.2磋商小组只要求商务、质量和服务评审合格的响应供应商在规定的时间内进行报价。</w:t>
      </w:r>
    </w:p>
    <w:p>
      <w:pPr>
        <w:spacing w:line="500" w:lineRule="exact"/>
        <w:rPr>
          <w:rFonts w:ascii="宋体" w:hAnsi="宋体" w:cs="宋体"/>
          <w:bCs/>
          <w:sz w:val="24"/>
        </w:rPr>
      </w:pPr>
      <w:r>
        <w:rPr>
          <w:rFonts w:hint="eastAsia" w:ascii="宋体" w:hAnsi="宋体" w:cs="宋体"/>
          <w:bCs/>
          <w:sz w:val="24"/>
        </w:rPr>
        <w:t>1.3磋商小组将根据需要决定是否要求所有合格的响应供应商在规定时间内进行第二次或最终报价，最终报价将作为价格评比的最终依据。</w:t>
      </w:r>
    </w:p>
    <w:p>
      <w:pPr>
        <w:spacing w:line="500" w:lineRule="exact"/>
        <w:rPr>
          <w:rFonts w:ascii="宋体" w:hAnsi="宋体" w:cs="宋体"/>
          <w:bCs/>
          <w:sz w:val="24"/>
        </w:rPr>
      </w:pPr>
      <w:r>
        <w:rPr>
          <w:rFonts w:hint="eastAsia" w:ascii="宋体" w:hAnsi="宋体" w:cs="宋体"/>
          <w:bCs/>
          <w:sz w:val="24"/>
        </w:rPr>
        <w:t>1.4经磋商确定最终采购需求和提交最终报价的供应商后，由磋商小组采用综合评分法对提交最后报价的供应商的响应文件和最后报价进行综合评分。</w:t>
      </w:r>
    </w:p>
    <w:p>
      <w:pPr>
        <w:spacing w:line="500" w:lineRule="exact"/>
        <w:rPr>
          <w:rFonts w:ascii="宋体" w:hAnsi="宋体" w:cs="宋体"/>
          <w:bCs/>
          <w:sz w:val="24"/>
        </w:rPr>
      </w:pPr>
      <w:r>
        <w:rPr>
          <w:rFonts w:hint="eastAsia" w:ascii="宋体" w:hAnsi="宋体" w:cs="宋体"/>
          <w:bCs/>
          <w:sz w:val="24"/>
        </w:rPr>
        <w:t>1.5各供应商的最终得分为各评委所评定分数的算术值。磋商小组将根据供应商最终得分由高到低的顺序推荐3名成交候选人。得分相同的，按有效最终报价由低到高顺序排名。得分且报价相同的，按技术指标优劣顺序排名。</w:t>
      </w:r>
    </w:p>
    <w:p>
      <w:pPr>
        <w:spacing w:line="500" w:lineRule="exact"/>
        <w:rPr>
          <w:rFonts w:ascii="宋体" w:hAnsi="宋体"/>
          <w:b/>
          <w:sz w:val="24"/>
        </w:rPr>
      </w:pPr>
      <w:bookmarkStart w:id="31" w:name="_Toc266776863"/>
      <w:r>
        <w:rPr>
          <w:rFonts w:hint="eastAsia" w:ascii="宋体" w:hAnsi="宋体"/>
          <w:b/>
          <w:sz w:val="24"/>
        </w:rPr>
        <w:t>2、签订合同</w:t>
      </w:r>
      <w:bookmarkEnd w:id="31"/>
    </w:p>
    <w:p>
      <w:pPr>
        <w:adjustRightInd w:val="0"/>
        <w:snapToGrid w:val="0"/>
        <w:spacing w:line="500" w:lineRule="exact"/>
        <w:rPr>
          <w:rFonts w:ascii="宋体" w:hAnsi="宋体"/>
          <w:sz w:val="24"/>
        </w:rPr>
      </w:pPr>
      <w:r>
        <w:rPr>
          <w:rFonts w:hint="eastAsia" w:ascii="宋体" w:hAnsi="宋体"/>
          <w:sz w:val="24"/>
        </w:rPr>
        <w:t>2.1本采购项目的合同将授予采购人依法依规确定的成交供应商。</w:t>
      </w:r>
    </w:p>
    <w:p>
      <w:pPr>
        <w:adjustRightInd w:val="0"/>
        <w:snapToGrid w:val="0"/>
        <w:spacing w:line="500" w:lineRule="exact"/>
        <w:rPr>
          <w:rFonts w:ascii="宋体" w:hAnsi="宋体"/>
          <w:sz w:val="24"/>
        </w:rPr>
      </w:pPr>
      <w:r>
        <w:rPr>
          <w:rFonts w:hint="eastAsia" w:ascii="宋体" w:hAnsi="宋体"/>
          <w:sz w:val="24"/>
        </w:rPr>
        <w:t>2.2</w:t>
      </w:r>
      <w:r>
        <w:rPr>
          <w:rFonts w:hint="eastAsia" w:ascii="宋体" w:hAnsi="宋体" w:cs="宋体"/>
          <w:sz w:val="24"/>
        </w:rPr>
        <w:t>付款方式：原则上院方验收合格后支付合同总款9</w:t>
      </w:r>
      <w:r>
        <w:rPr>
          <w:rFonts w:ascii="宋体" w:hAnsi="宋体" w:cs="宋体"/>
          <w:sz w:val="24"/>
        </w:rPr>
        <w:t>0</w:t>
      </w:r>
      <w:r>
        <w:rPr>
          <w:rFonts w:hint="eastAsia" w:ascii="宋体" w:hAnsi="宋体" w:cs="宋体"/>
          <w:sz w:val="24"/>
        </w:rPr>
        <w:t>%，质保期满后支付合同总款1</w:t>
      </w:r>
      <w:r>
        <w:rPr>
          <w:rFonts w:ascii="宋体" w:hAnsi="宋体" w:cs="宋体"/>
          <w:sz w:val="24"/>
        </w:rPr>
        <w:t>0</w:t>
      </w:r>
      <w:r>
        <w:rPr>
          <w:rFonts w:hint="eastAsia" w:ascii="宋体" w:hAnsi="宋体" w:cs="宋体"/>
          <w:sz w:val="24"/>
        </w:rPr>
        <w:t>%。具体付款细则采购人与成交供应商协商确定。</w:t>
      </w:r>
    </w:p>
    <w:p>
      <w:pPr>
        <w:pStyle w:val="5"/>
        <w:jc w:val="both"/>
        <w:sectPr>
          <w:headerReference r:id="rId3" w:type="default"/>
          <w:footerReference r:id="rId4" w:type="default"/>
          <w:pgSz w:w="11906" w:h="16838"/>
          <w:pgMar w:top="1046" w:right="1286" w:bottom="1091" w:left="1620" w:header="851" w:footer="692" w:gutter="0"/>
          <w:pgNumType w:start="1"/>
          <w:cols w:space="720" w:num="1"/>
          <w:docGrid w:type="lines" w:linePitch="312" w:charSpace="0"/>
        </w:sectPr>
      </w:pPr>
    </w:p>
    <w:p>
      <w:pPr>
        <w:ind w:firstLine="2875" w:firstLineChars="895"/>
        <w:rPr>
          <w:rFonts w:ascii="宋体" w:hAnsi="宋体" w:cs="宋体"/>
          <w:b/>
          <w:bCs/>
          <w:sz w:val="32"/>
          <w:szCs w:val="32"/>
        </w:rPr>
      </w:pPr>
      <w:r>
        <w:rPr>
          <w:rFonts w:hint="eastAsia" w:ascii="宋体" w:hAnsi="宋体" w:eastAsiaTheme="minorEastAsia"/>
          <w:b/>
          <w:bCs/>
          <w:sz w:val="32"/>
          <w:szCs w:val="32"/>
        </w:rPr>
        <w:t xml:space="preserve">第三章 </w:t>
      </w:r>
      <w:r>
        <w:rPr>
          <w:rFonts w:hint="eastAsia" w:ascii="宋体" w:hAnsi="宋体" w:cs="宋体"/>
          <w:b/>
          <w:bCs/>
          <w:sz w:val="32"/>
          <w:szCs w:val="32"/>
        </w:rPr>
        <w:t xml:space="preserve"> </w:t>
      </w:r>
      <w:r>
        <w:rPr>
          <w:rFonts w:hint="eastAsia" w:ascii="宋体" w:hAnsi="宋体" w:eastAsiaTheme="minorEastAsia"/>
          <w:b/>
          <w:bCs/>
          <w:sz w:val="32"/>
          <w:szCs w:val="32"/>
        </w:rPr>
        <w:t>评分标准</w:t>
      </w:r>
    </w:p>
    <w:tbl>
      <w:tblPr>
        <w:tblStyle w:val="8"/>
        <w:tblpPr w:leftFromText="180" w:rightFromText="180" w:vertAnchor="page" w:horzAnchor="page" w:tblpX="1242" w:tblpY="2047"/>
        <w:tblW w:w="9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8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exact"/>
        </w:trPr>
        <w:tc>
          <w:tcPr>
            <w:tcW w:w="1526" w:type="dxa"/>
            <w:vAlign w:val="center"/>
          </w:tcPr>
          <w:p>
            <w:pPr>
              <w:jc w:val="center"/>
              <w:rPr>
                <w:rFonts w:ascii="宋体" w:hAnsi="宋体"/>
                <w:sz w:val="24"/>
                <w:szCs w:val="24"/>
              </w:rPr>
            </w:pPr>
            <w:r>
              <w:rPr>
                <w:rFonts w:hint="eastAsia" w:ascii="宋体" w:hAnsi="宋体"/>
                <w:b/>
                <w:sz w:val="24"/>
                <w:szCs w:val="24"/>
              </w:rPr>
              <w:t>评 分 项 目</w:t>
            </w:r>
          </w:p>
        </w:tc>
        <w:tc>
          <w:tcPr>
            <w:tcW w:w="8114" w:type="dxa"/>
            <w:vAlign w:val="center"/>
          </w:tcPr>
          <w:p>
            <w:pPr>
              <w:jc w:val="center"/>
              <w:rPr>
                <w:rFonts w:ascii="宋体" w:hAnsi="宋体"/>
                <w:b/>
                <w:sz w:val="24"/>
                <w:szCs w:val="24"/>
              </w:rPr>
            </w:pPr>
            <w:r>
              <w:rPr>
                <w:rFonts w:hint="eastAsia" w:ascii="宋体" w:hAnsi="宋体"/>
                <w:b/>
                <w:sz w:val="24"/>
                <w:szCs w:val="24"/>
              </w:rPr>
              <w:t>标  准  及  分  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8" w:hRule="exact"/>
        </w:trPr>
        <w:tc>
          <w:tcPr>
            <w:tcW w:w="1526" w:type="dxa"/>
            <w:vAlign w:val="center"/>
          </w:tcPr>
          <w:p>
            <w:pPr>
              <w:pStyle w:val="7"/>
              <w:jc w:val="center"/>
              <w:rPr>
                <w:szCs w:val="24"/>
              </w:rPr>
            </w:pPr>
            <w:r>
              <w:rPr>
                <w:rFonts w:hint="eastAsia"/>
                <w:szCs w:val="24"/>
              </w:rPr>
              <w:t>磋商报价（30分）</w:t>
            </w:r>
          </w:p>
        </w:tc>
        <w:tc>
          <w:tcPr>
            <w:tcW w:w="8114" w:type="dxa"/>
            <w:vAlign w:val="center"/>
          </w:tcPr>
          <w:p>
            <w:pPr>
              <w:rPr>
                <w:rFonts w:ascii="宋体" w:hAnsi="宋体"/>
                <w:sz w:val="24"/>
                <w:szCs w:val="24"/>
              </w:rPr>
            </w:pPr>
            <w:r>
              <w:rPr>
                <w:rFonts w:hint="eastAsia" w:ascii="宋体" w:hAnsi="宋体"/>
                <w:sz w:val="24"/>
                <w:szCs w:val="24"/>
              </w:rPr>
              <w:t>通过初步审核的有效报价，进入价格评议环节。</w:t>
            </w:r>
          </w:p>
          <w:p>
            <w:pPr>
              <w:rPr>
                <w:rFonts w:ascii="宋体" w:hAnsi="宋体"/>
                <w:sz w:val="24"/>
                <w:szCs w:val="24"/>
              </w:rPr>
            </w:pPr>
            <w:r>
              <w:rPr>
                <w:rFonts w:hint="eastAsia" w:ascii="宋体" w:hAnsi="宋体"/>
                <w:sz w:val="24"/>
                <w:szCs w:val="24"/>
              </w:rPr>
              <w:t>本项目价格评议采取低价优先法计算，即满足竞争性磋商文件要求且报价（落实政府采购政策进行价格调整的，以调整后的价格计算）最低的磋商报价为评标基准价，其价格分为满分。供应商的价格分统一按照下列公式计算：</w:t>
            </w:r>
          </w:p>
          <w:p>
            <w:pPr>
              <w:rPr>
                <w:rFonts w:ascii="宋体" w:hAnsi="宋体"/>
                <w:sz w:val="24"/>
                <w:szCs w:val="24"/>
              </w:rPr>
            </w:pPr>
            <w:r>
              <w:rPr>
                <w:rFonts w:hint="eastAsia" w:ascii="宋体" w:hAnsi="宋体"/>
                <w:sz w:val="24"/>
                <w:szCs w:val="24"/>
              </w:rPr>
              <w:t>磋商报价得分=（评标基准价/磋商报价）×30%×100。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1" w:hRule="exact"/>
        </w:trPr>
        <w:tc>
          <w:tcPr>
            <w:tcW w:w="1526" w:type="dxa"/>
            <w:vAlign w:val="center"/>
          </w:tcPr>
          <w:p>
            <w:pPr>
              <w:pStyle w:val="7"/>
              <w:jc w:val="center"/>
              <w:rPr>
                <w:szCs w:val="24"/>
              </w:rPr>
            </w:pPr>
            <w:r>
              <w:rPr>
                <w:rFonts w:hint="eastAsia"/>
                <w:szCs w:val="24"/>
              </w:rPr>
              <w:t>技术（45分）</w:t>
            </w:r>
          </w:p>
        </w:tc>
        <w:tc>
          <w:tcPr>
            <w:tcW w:w="8114" w:type="dxa"/>
            <w:vAlign w:val="center"/>
          </w:tcPr>
          <w:p>
            <w:pPr>
              <w:rPr>
                <w:rFonts w:ascii="宋体" w:hAnsi="宋体"/>
                <w:sz w:val="24"/>
                <w:szCs w:val="24"/>
              </w:rPr>
            </w:pPr>
            <w:r>
              <w:rPr>
                <w:rFonts w:hint="eastAsia" w:ascii="宋体" w:hAnsi="宋体"/>
                <w:sz w:val="24"/>
                <w:szCs w:val="24"/>
              </w:rPr>
              <w:t>1．技术指标全部符合招标要求得45分。</w:t>
            </w:r>
          </w:p>
          <w:p>
            <w:pPr>
              <w:ind w:left="421" w:leftChars="3" w:hanging="415" w:hangingChars="173"/>
              <w:rPr>
                <w:rFonts w:ascii="宋体" w:hAnsi="宋体"/>
                <w:sz w:val="24"/>
                <w:szCs w:val="24"/>
              </w:rPr>
            </w:pPr>
            <w:r>
              <w:rPr>
                <w:rFonts w:hint="eastAsia" w:ascii="宋体" w:hAnsi="宋体"/>
                <w:sz w:val="24"/>
                <w:szCs w:val="24"/>
              </w:rPr>
              <w:t>2．未标注“*”号的一般性技术参数不满足招标要求的，每一项减2分。</w:t>
            </w:r>
          </w:p>
          <w:p>
            <w:pPr>
              <w:rPr>
                <w:rFonts w:ascii="宋体" w:hAnsi="宋体"/>
                <w:sz w:val="24"/>
                <w:szCs w:val="24"/>
              </w:rPr>
            </w:pPr>
            <w:r>
              <w:rPr>
                <w:rFonts w:hint="eastAsia" w:ascii="宋体" w:hAnsi="宋体"/>
                <w:sz w:val="24"/>
                <w:szCs w:val="24"/>
              </w:rPr>
              <w:t>3．标注“*”号的重要性技术</w:t>
            </w:r>
            <w:r>
              <w:rPr>
                <w:rFonts w:ascii="宋体" w:hAnsi="宋体"/>
                <w:sz w:val="24"/>
                <w:szCs w:val="24"/>
              </w:rPr>
              <w:t>参数</w:t>
            </w:r>
            <w:r>
              <w:rPr>
                <w:rFonts w:hint="eastAsia" w:ascii="宋体" w:hAnsi="宋体"/>
                <w:sz w:val="24"/>
                <w:szCs w:val="24"/>
              </w:rPr>
              <w:t>不满足招标要求的，每一项减4分。(供应商在磋商文件中必须载明所投设备的技术证明或检测报告，以及参数部分或彩色宣传资料等证明材料)</w:t>
            </w:r>
          </w:p>
          <w:p>
            <w:pPr>
              <w:rPr>
                <w:rFonts w:ascii="宋体" w:hAnsi="宋体"/>
                <w:sz w:val="24"/>
                <w:szCs w:val="24"/>
              </w:rPr>
            </w:pPr>
            <w:r>
              <w:rPr>
                <w:rFonts w:hint="eastAsia" w:ascii="宋体" w:hAnsi="宋体"/>
                <w:sz w:val="24"/>
                <w:szCs w:val="24"/>
              </w:rPr>
              <w:t>4. 磋商文件中没有提供原厂技术证明或检测报告，以及参数部分或彩色宣传资料等证明材料将减10分。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exact"/>
        </w:trPr>
        <w:tc>
          <w:tcPr>
            <w:tcW w:w="1526" w:type="dxa"/>
            <w:vAlign w:val="center"/>
          </w:tcPr>
          <w:p>
            <w:pPr>
              <w:pStyle w:val="7"/>
              <w:jc w:val="center"/>
              <w:rPr>
                <w:kern w:val="2"/>
                <w:szCs w:val="24"/>
              </w:rPr>
            </w:pPr>
            <w:r>
              <w:rPr>
                <w:rFonts w:hint="eastAsia"/>
                <w:kern w:val="2"/>
                <w:szCs w:val="24"/>
              </w:rPr>
              <w:t>技术优势（5分）</w:t>
            </w:r>
          </w:p>
        </w:tc>
        <w:tc>
          <w:tcPr>
            <w:tcW w:w="8114" w:type="dxa"/>
            <w:vAlign w:val="center"/>
          </w:tcPr>
          <w:p>
            <w:pPr>
              <w:rPr>
                <w:rFonts w:ascii="宋体" w:hAnsi="宋体"/>
                <w:sz w:val="24"/>
                <w:szCs w:val="24"/>
              </w:rPr>
            </w:pPr>
            <w:r>
              <w:rPr>
                <w:rFonts w:hint="eastAsia" w:ascii="宋体" w:hAnsi="宋体"/>
                <w:sz w:val="24"/>
                <w:szCs w:val="24"/>
              </w:rPr>
              <w:t>1.</w:t>
            </w:r>
            <w:r>
              <w:rPr>
                <w:rFonts w:hint="eastAsia"/>
                <w:sz w:val="24"/>
                <w:szCs w:val="24"/>
              </w:rPr>
              <w:t>产品性能评价：</w:t>
            </w:r>
            <w:r>
              <w:rPr>
                <w:rFonts w:hint="eastAsia" w:ascii="宋体" w:hAnsi="宋体"/>
                <w:sz w:val="24"/>
                <w:szCs w:val="24"/>
              </w:rPr>
              <w:t>由评审专家以使用经验和产品说明为依据进行给分，综合评比优得3分、一般得1-2分；</w:t>
            </w:r>
          </w:p>
          <w:p>
            <w:pPr>
              <w:rPr>
                <w:rFonts w:ascii="宋体" w:hAnsi="宋体"/>
                <w:sz w:val="24"/>
                <w:szCs w:val="24"/>
              </w:rPr>
            </w:pPr>
            <w:r>
              <w:rPr>
                <w:rFonts w:hint="eastAsia" w:ascii="宋体" w:hAnsi="宋体"/>
                <w:sz w:val="24"/>
                <w:szCs w:val="24"/>
              </w:rPr>
              <w:t>2．竞标产品生产工艺水平有优势且有技术资料证明的得1分。</w:t>
            </w:r>
          </w:p>
          <w:p>
            <w:pPr>
              <w:rPr>
                <w:rFonts w:ascii="宋体" w:hAnsi="宋体"/>
                <w:sz w:val="24"/>
                <w:szCs w:val="24"/>
              </w:rPr>
            </w:pPr>
            <w:r>
              <w:rPr>
                <w:rFonts w:hint="eastAsia" w:ascii="宋体" w:hAnsi="宋体"/>
                <w:sz w:val="24"/>
                <w:szCs w:val="24"/>
              </w:rPr>
              <w:t>3．产品在将来使用过程中环保、节能、损耗小且有技术资料说明的得1分。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exact"/>
        </w:trPr>
        <w:tc>
          <w:tcPr>
            <w:tcW w:w="1526" w:type="dxa"/>
            <w:vAlign w:val="center"/>
          </w:tcPr>
          <w:p>
            <w:pPr>
              <w:pStyle w:val="7"/>
              <w:jc w:val="center"/>
              <w:rPr>
                <w:szCs w:val="24"/>
              </w:rPr>
            </w:pPr>
            <w:r>
              <w:rPr>
                <w:rFonts w:hint="eastAsia"/>
                <w:szCs w:val="24"/>
              </w:rPr>
              <w:t>用户使用评价（4分）</w:t>
            </w:r>
          </w:p>
        </w:tc>
        <w:tc>
          <w:tcPr>
            <w:tcW w:w="8114" w:type="dxa"/>
            <w:vAlign w:val="center"/>
          </w:tcPr>
          <w:p>
            <w:pPr>
              <w:rPr>
                <w:rFonts w:ascii="宋体" w:hAnsi="宋体"/>
                <w:sz w:val="24"/>
                <w:szCs w:val="24"/>
              </w:rPr>
            </w:pPr>
            <w:r>
              <w:rPr>
                <w:rFonts w:hint="eastAsia" w:ascii="宋体" w:hAnsi="宋体"/>
                <w:sz w:val="24"/>
                <w:szCs w:val="24"/>
              </w:rPr>
              <w:t>提供近两年（2020年1月1日至今）类似中标产品用户使用情况和售后服务评价（必须加盖用户公章并提供用户有效的联系方式）的一项得1分。最多得4分，没有提供或有不良反映的不得分。</w:t>
            </w:r>
          </w:p>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exact"/>
        </w:trPr>
        <w:tc>
          <w:tcPr>
            <w:tcW w:w="1526" w:type="dxa"/>
            <w:vAlign w:val="center"/>
          </w:tcPr>
          <w:p>
            <w:pPr>
              <w:jc w:val="center"/>
              <w:rPr>
                <w:rFonts w:ascii="宋体" w:hAnsi="宋体"/>
                <w:sz w:val="24"/>
                <w:szCs w:val="24"/>
              </w:rPr>
            </w:pPr>
            <w:r>
              <w:rPr>
                <w:rFonts w:hint="eastAsia" w:ascii="宋体" w:hAnsi="宋体"/>
                <w:sz w:val="24"/>
                <w:szCs w:val="24"/>
              </w:rPr>
              <w:t>质保期</w:t>
            </w:r>
          </w:p>
          <w:p>
            <w:pPr>
              <w:jc w:val="center"/>
              <w:rPr>
                <w:rFonts w:ascii="宋体" w:hAnsi="宋体"/>
                <w:sz w:val="24"/>
                <w:szCs w:val="24"/>
              </w:rPr>
            </w:pPr>
            <w:r>
              <w:rPr>
                <w:rFonts w:hint="eastAsia" w:ascii="宋体" w:hAnsi="宋体"/>
                <w:sz w:val="24"/>
                <w:szCs w:val="24"/>
              </w:rPr>
              <w:t>（2分）</w:t>
            </w:r>
          </w:p>
        </w:tc>
        <w:tc>
          <w:tcPr>
            <w:tcW w:w="8114" w:type="dxa"/>
            <w:vAlign w:val="center"/>
          </w:tcPr>
          <w:p>
            <w:pPr>
              <w:rPr>
                <w:rFonts w:ascii="宋体" w:hAnsi="宋体"/>
                <w:sz w:val="24"/>
                <w:szCs w:val="24"/>
              </w:rPr>
            </w:pPr>
            <w:r>
              <w:rPr>
                <w:rFonts w:hint="eastAsia" w:ascii="宋体" w:hAnsi="宋体"/>
                <w:sz w:val="24"/>
                <w:szCs w:val="24"/>
              </w:rPr>
              <w:t>供应商承诺质保期实质性优于采购文件要求的每延长一年加1分，最高得2分。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exact"/>
        </w:trPr>
        <w:tc>
          <w:tcPr>
            <w:tcW w:w="1526" w:type="dxa"/>
            <w:vAlign w:val="center"/>
          </w:tcPr>
          <w:p>
            <w:pPr>
              <w:jc w:val="center"/>
              <w:rPr>
                <w:rFonts w:ascii="宋体" w:hAnsi="宋体"/>
                <w:sz w:val="24"/>
                <w:szCs w:val="24"/>
              </w:rPr>
            </w:pPr>
            <w:r>
              <w:rPr>
                <w:rFonts w:hint="eastAsia" w:ascii="宋体" w:hAnsi="宋体"/>
                <w:sz w:val="24"/>
                <w:szCs w:val="24"/>
              </w:rPr>
              <w:t>信誉</w:t>
            </w:r>
          </w:p>
          <w:p>
            <w:pPr>
              <w:jc w:val="center"/>
              <w:rPr>
                <w:rFonts w:ascii="宋体" w:hAnsi="宋体"/>
                <w:sz w:val="24"/>
                <w:szCs w:val="24"/>
              </w:rPr>
            </w:pPr>
            <w:r>
              <w:rPr>
                <w:rFonts w:hint="eastAsia" w:ascii="宋体" w:hAnsi="宋体"/>
                <w:sz w:val="24"/>
                <w:szCs w:val="24"/>
              </w:rPr>
              <w:t>（3分）</w:t>
            </w:r>
          </w:p>
        </w:tc>
        <w:tc>
          <w:tcPr>
            <w:tcW w:w="8114" w:type="dxa"/>
            <w:vAlign w:val="center"/>
          </w:tcPr>
          <w:p>
            <w:pPr>
              <w:rPr>
                <w:rFonts w:ascii="宋体" w:hAnsi="宋体"/>
                <w:sz w:val="24"/>
                <w:szCs w:val="24"/>
              </w:rPr>
            </w:pPr>
            <w:r>
              <w:rPr>
                <w:rFonts w:hint="eastAsia" w:ascii="宋体" w:hAnsi="宋体"/>
                <w:sz w:val="24"/>
                <w:szCs w:val="24"/>
              </w:rPr>
              <w:t>1．产品宣传的客观性、技术参数响应的真实综合评标优得2分，一般得0-1分。</w:t>
            </w:r>
          </w:p>
          <w:p>
            <w:pPr>
              <w:rPr>
                <w:rFonts w:ascii="宋体" w:hAnsi="宋体"/>
                <w:sz w:val="24"/>
                <w:szCs w:val="24"/>
              </w:rPr>
            </w:pPr>
            <w:r>
              <w:rPr>
                <w:rFonts w:hint="eastAsia" w:ascii="宋体" w:hAnsi="宋体"/>
                <w:sz w:val="24"/>
                <w:szCs w:val="24"/>
              </w:rPr>
              <w:t>2．磋商报价的合理性、合同执行的守信度、服务及时周到与否，以及有无不良记录、违约欺骗情况综合评标优得1分，一般得0-0.5分。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exact"/>
        </w:trPr>
        <w:tc>
          <w:tcPr>
            <w:tcW w:w="1526" w:type="dxa"/>
            <w:vAlign w:val="center"/>
          </w:tcPr>
          <w:p>
            <w:pPr>
              <w:jc w:val="center"/>
              <w:rPr>
                <w:rFonts w:ascii="宋体" w:hAnsi="宋体"/>
                <w:sz w:val="24"/>
                <w:szCs w:val="24"/>
              </w:rPr>
            </w:pPr>
            <w:r>
              <w:rPr>
                <w:rFonts w:hint="eastAsia" w:ascii="宋体" w:hAnsi="宋体"/>
                <w:sz w:val="24"/>
                <w:szCs w:val="24"/>
              </w:rPr>
              <w:t>市场占有率（4分）</w:t>
            </w:r>
          </w:p>
        </w:tc>
        <w:tc>
          <w:tcPr>
            <w:tcW w:w="8114" w:type="dxa"/>
            <w:vAlign w:val="center"/>
          </w:tcPr>
          <w:p>
            <w:pPr>
              <w:rPr>
                <w:rFonts w:ascii="宋体" w:hAnsi="宋体"/>
                <w:sz w:val="24"/>
                <w:szCs w:val="24"/>
              </w:rPr>
            </w:pPr>
            <w:r>
              <w:rPr>
                <w:rFonts w:hint="eastAsia" w:ascii="宋体" w:hAnsi="宋体"/>
                <w:sz w:val="24"/>
                <w:szCs w:val="24"/>
              </w:rPr>
              <w:t>磋商企业类似产品销售业绩或提供所投该机型的厂家或代理商的销售业绩（包含有本项目所投产品至少一项）。提供真实有效的合同复印件或中标通知书为准，每项得1分，最高得4分。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4" w:hRule="exact"/>
        </w:trPr>
        <w:tc>
          <w:tcPr>
            <w:tcW w:w="1526" w:type="dxa"/>
            <w:vAlign w:val="center"/>
          </w:tcPr>
          <w:p>
            <w:pPr>
              <w:jc w:val="center"/>
              <w:rPr>
                <w:rFonts w:ascii="宋体" w:hAnsi="宋体"/>
                <w:sz w:val="24"/>
                <w:szCs w:val="24"/>
              </w:rPr>
            </w:pPr>
            <w:r>
              <w:rPr>
                <w:rFonts w:hint="eastAsia" w:ascii="宋体" w:hAnsi="宋体"/>
                <w:sz w:val="24"/>
                <w:szCs w:val="24"/>
              </w:rPr>
              <w:t>服务（5分）</w:t>
            </w:r>
          </w:p>
        </w:tc>
        <w:tc>
          <w:tcPr>
            <w:tcW w:w="8114" w:type="dxa"/>
            <w:vAlign w:val="center"/>
          </w:tcPr>
          <w:p>
            <w:pPr>
              <w:rPr>
                <w:rFonts w:ascii="宋体" w:hAnsi="宋体"/>
                <w:sz w:val="24"/>
                <w:szCs w:val="24"/>
              </w:rPr>
            </w:pPr>
            <w:r>
              <w:rPr>
                <w:rFonts w:hint="eastAsia" w:ascii="宋体" w:hAnsi="宋体"/>
                <w:sz w:val="24"/>
                <w:szCs w:val="24"/>
              </w:rPr>
              <w:t>1．响应标书售后要求并有完备的售后服务体系的得1分。</w:t>
            </w:r>
          </w:p>
          <w:p>
            <w:pPr>
              <w:rPr>
                <w:rFonts w:ascii="宋体" w:hAnsi="宋体"/>
                <w:sz w:val="24"/>
                <w:szCs w:val="24"/>
              </w:rPr>
            </w:pPr>
            <w:r>
              <w:rPr>
                <w:rFonts w:hint="eastAsia" w:ascii="宋体" w:hAnsi="宋体"/>
                <w:sz w:val="24"/>
                <w:szCs w:val="24"/>
              </w:rPr>
              <w:t>2．提供产品服务的省内分支机构情况的得1分。</w:t>
            </w:r>
          </w:p>
          <w:p>
            <w:pPr>
              <w:rPr>
                <w:rFonts w:ascii="宋体" w:hAnsi="宋体"/>
                <w:sz w:val="24"/>
                <w:szCs w:val="24"/>
              </w:rPr>
            </w:pPr>
            <w:r>
              <w:rPr>
                <w:rFonts w:hint="eastAsia" w:ascii="宋体" w:hAnsi="宋体"/>
                <w:sz w:val="24"/>
                <w:szCs w:val="24"/>
              </w:rPr>
              <w:t>3．根据供应商服务网点分布情况及数量、有针对性强的人员培训方案及售后服务方案进行评比。方案切合实际、高度契合采购要求的得3分；方案基本合理，基本满足采购要求的得2分，其它得0-1分。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trPr>
        <w:tc>
          <w:tcPr>
            <w:tcW w:w="1526" w:type="dxa"/>
            <w:vAlign w:val="center"/>
          </w:tcPr>
          <w:p>
            <w:pPr>
              <w:jc w:val="center"/>
              <w:rPr>
                <w:rFonts w:ascii="宋体" w:hAnsi="宋体"/>
                <w:sz w:val="24"/>
                <w:szCs w:val="24"/>
              </w:rPr>
            </w:pPr>
            <w:r>
              <w:rPr>
                <w:rFonts w:hint="eastAsia" w:ascii="宋体" w:hAnsi="宋体"/>
                <w:sz w:val="24"/>
                <w:szCs w:val="24"/>
              </w:rPr>
              <w:t>竞争性磋商文件制作</w:t>
            </w:r>
          </w:p>
          <w:p>
            <w:pPr>
              <w:jc w:val="center"/>
              <w:rPr>
                <w:rFonts w:ascii="宋体" w:hAnsi="宋体"/>
                <w:sz w:val="24"/>
                <w:szCs w:val="24"/>
              </w:rPr>
            </w:pPr>
            <w:r>
              <w:rPr>
                <w:rFonts w:hint="eastAsia" w:ascii="宋体" w:hAnsi="宋体"/>
                <w:sz w:val="24"/>
                <w:szCs w:val="24"/>
              </w:rPr>
              <w:t>（2分）</w:t>
            </w:r>
          </w:p>
        </w:tc>
        <w:tc>
          <w:tcPr>
            <w:tcW w:w="8114" w:type="dxa"/>
            <w:vAlign w:val="center"/>
          </w:tcPr>
          <w:p>
            <w:pPr>
              <w:rPr>
                <w:rFonts w:ascii="宋体" w:hAnsi="宋体"/>
                <w:sz w:val="24"/>
                <w:szCs w:val="24"/>
              </w:rPr>
            </w:pPr>
            <w:r>
              <w:rPr>
                <w:rFonts w:hint="eastAsia" w:ascii="宋体" w:hAnsi="宋体"/>
                <w:sz w:val="24"/>
                <w:szCs w:val="24"/>
              </w:rPr>
              <w:t>磋商文件编制完整、精致、全面响应竞争性磋商文件，逐页有连续页码、有详细目录、目录与有关材料装订顺序对应清晰、查阅方便，得2分。磋商文件制作一般得0-1分。</w:t>
            </w:r>
          </w:p>
        </w:tc>
      </w:tr>
    </w:tbl>
    <w:p>
      <w:pPr>
        <w:pStyle w:val="3"/>
        <w:rPr>
          <w:rFonts w:hAnsi="宋体"/>
          <w:sz w:val="24"/>
          <w:szCs w:val="24"/>
        </w:rPr>
      </w:pPr>
      <w:bookmarkStart w:id="32" w:name="_Toc528493167"/>
      <w:bookmarkStart w:id="33" w:name="_Toc528493579"/>
      <w:bookmarkStart w:id="34" w:name="_Toc528494285"/>
      <w:bookmarkStart w:id="35" w:name="_Toc528493086"/>
      <w:bookmarkStart w:id="36" w:name="_Toc528493134"/>
    </w:p>
    <w:p>
      <w:pPr>
        <w:pStyle w:val="2"/>
        <w:rPr>
          <w:rFonts w:ascii="宋体" w:hAnsi="宋体" w:cs="宋体"/>
        </w:rPr>
      </w:pPr>
      <w:r>
        <w:rPr>
          <w:rFonts w:hint="eastAsia" w:ascii="宋体" w:hAnsi="宋体" w:cs="宋体"/>
        </w:rPr>
        <w:t>第四章  采购项目内容及要求</w:t>
      </w:r>
      <w:bookmarkEnd w:id="32"/>
      <w:bookmarkEnd w:id="33"/>
      <w:bookmarkEnd w:id="34"/>
      <w:bookmarkEnd w:id="35"/>
      <w:bookmarkEnd w:id="36"/>
    </w:p>
    <w:p>
      <w:pPr>
        <w:spacing w:line="420" w:lineRule="exact"/>
        <w:rPr>
          <w:rFonts w:ascii="宋体" w:cs="宋体"/>
          <w:sz w:val="18"/>
          <w:szCs w:val="18"/>
        </w:rPr>
      </w:pPr>
      <w:r>
        <w:rPr>
          <w:rFonts w:hint="eastAsia" w:ascii="宋体" w:hAnsi="宋体" w:cs="宋体"/>
          <w:b/>
          <w:bCs/>
          <w:sz w:val="24"/>
        </w:rPr>
        <w:t>一、项目内容：</w:t>
      </w:r>
    </w:p>
    <w:p>
      <w:pPr>
        <w:spacing w:line="420" w:lineRule="exact"/>
        <w:ind w:firstLine="480" w:firstLineChars="200"/>
        <w:rPr>
          <w:rFonts w:ascii="宋体" w:hAnsi="宋体" w:cs="宋体"/>
          <w:sz w:val="24"/>
        </w:rPr>
      </w:pPr>
      <w:r>
        <w:rPr>
          <w:rFonts w:ascii="宋体" w:hAnsi="宋体" w:cs="宋体"/>
          <w:sz w:val="24"/>
        </w:rPr>
        <w:t>1.</w:t>
      </w:r>
      <w:r>
        <w:rPr>
          <w:rFonts w:hint="eastAsia" w:ascii="宋体" w:hAnsi="宋体" w:cs="宋体"/>
          <w:sz w:val="24"/>
        </w:rPr>
        <w:t>项目名称：黄石市中心医院</w:t>
      </w:r>
      <w:r>
        <w:rPr>
          <w:rFonts w:hint="eastAsia" w:ascii="宋体" w:hAnsi="宋体" w:cs="宋体"/>
          <w:sz w:val="24"/>
          <w:lang w:val="en-US" w:eastAsia="zh-CN"/>
        </w:rPr>
        <w:t>中药熏蒸治疗仪</w:t>
      </w:r>
      <w:r>
        <w:rPr>
          <w:rFonts w:hint="eastAsia" w:ascii="宋体" w:hAnsi="宋体" w:cs="宋体"/>
          <w:sz w:val="24"/>
        </w:rPr>
        <w:t>采购项目</w:t>
      </w:r>
    </w:p>
    <w:p>
      <w:pPr>
        <w:spacing w:line="420" w:lineRule="exact"/>
        <w:ind w:firstLine="480" w:firstLineChars="200"/>
        <w:rPr>
          <w:rFonts w:ascii="宋体" w:cs="宋体"/>
          <w:sz w:val="24"/>
        </w:rPr>
      </w:pPr>
      <w:r>
        <w:rPr>
          <w:rFonts w:ascii="宋体" w:hAnsi="宋体" w:cs="宋体"/>
          <w:sz w:val="24"/>
        </w:rPr>
        <w:t>2.</w:t>
      </w:r>
      <w:r>
        <w:rPr>
          <w:rFonts w:hint="eastAsia" w:ascii="宋体" w:hAnsi="宋体" w:cs="宋体"/>
          <w:sz w:val="24"/>
        </w:rPr>
        <w:t>采购方式：竞争性磋商</w:t>
      </w:r>
    </w:p>
    <w:p>
      <w:pPr>
        <w:spacing w:line="420" w:lineRule="exact"/>
        <w:ind w:firstLine="480" w:firstLineChars="200"/>
        <w:rPr>
          <w:rFonts w:ascii="宋体" w:hAnsi="宋体" w:cs="宋体"/>
          <w:sz w:val="24"/>
        </w:rPr>
      </w:pPr>
      <w:r>
        <w:rPr>
          <w:rFonts w:ascii="宋体" w:hAnsi="宋体" w:cs="宋体"/>
          <w:sz w:val="24"/>
        </w:rPr>
        <w:t>3.</w:t>
      </w:r>
      <w:r>
        <w:rPr>
          <w:rFonts w:hint="eastAsia" w:ascii="宋体" w:hAnsi="宋体" w:cs="宋体"/>
          <w:sz w:val="24"/>
        </w:rPr>
        <w:t>预算金额：</w:t>
      </w:r>
      <w:r>
        <w:rPr>
          <w:rFonts w:hint="eastAsia" w:ascii="宋体" w:hAnsi="宋体" w:cs="宋体"/>
          <w:sz w:val="24"/>
          <w:lang w:val="en-US" w:eastAsia="zh-CN"/>
        </w:rPr>
        <w:t>8</w:t>
      </w:r>
      <w:r>
        <w:rPr>
          <w:rFonts w:hint="eastAsia" w:ascii="宋体" w:hAnsi="宋体" w:cs="宋体"/>
          <w:sz w:val="24"/>
        </w:rPr>
        <w:t>万元</w:t>
      </w:r>
    </w:p>
    <w:p>
      <w:pPr>
        <w:spacing w:line="420" w:lineRule="exact"/>
        <w:ind w:firstLine="480" w:firstLineChars="200"/>
        <w:rPr>
          <w:rFonts w:ascii="宋体" w:hAnsi="宋体" w:cs="宋体"/>
          <w:sz w:val="24"/>
        </w:rPr>
      </w:pPr>
      <w:r>
        <w:rPr>
          <w:rFonts w:ascii="宋体" w:hAnsi="宋体" w:cs="宋体"/>
          <w:sz w:val="24"/>
        </w:rPr>
        <w:t>4</w:t>
      </w:r>
      <w:r>
        <w:rPr>
          <w:rFonts w:hint="eastAsia" w:ascii="宋体" w:hAnsi="宋体" w:cs="宋体"/>
          <w:sz w:val="24"/>
        </w:rPr>
        <w:t>.采购数量：</w:t>
      </w:r>
      <w:r>
        <w:rPr>
          <w:rFonts w:hint="eastAsia" w:ascii="宋体" w:hAnsi="宋体" w:cs="宋体"/>
          <w:sz w:val="24"/>
          <w:lang w:val="en-US" w:eastAsia="zh-CN"/>
        </w:rPr>
        <w:t>2</w:t>
      </w:r>
      <w:r>
        <w:rPr>
          <w:rFonts w:hint="eastAsia" w:ascii="宋体" w:hAnsi="宋体" w:cs="宋体"/>
          <w:sz w:val="24"/>
        </w:rPr>
        <w:t>台</w:t>
      </w:r>
    </w:p>
    <w:p>
      <w:pPr>
        <w:spacing w:line="420" w:lineRule="exact"/>
        <w:ind w:firstLine="480" w:firstLineChars="200"/>
        <w:rPr>
          <w:rFonts w:ascii="宋体" w:hAnsi="宋体" w:cs="宋体"/>
          <w:sz w:val="24"/>
        </w:rPr>
      </w:pPr>
      <w:r>
        <w:rPr>
          <w:rFonts w:ascii="宋体" w:hAnsi="宋体" w:cs="宋体"/>
          <w:sz w:val="24"/>
        </w:rPr>
        <w:t>5.</w:t>
      </w:r>
      <w:r>
        <w:rPr>
          <w:rFonts w:hint="eastAsia" w:ascii="宋体" w:hAnsi="宋体" w:cs="宋体"/>
          <w:sz w:val="24"/>
        </w:rPr>
        <w:t>送货期：合同签订七天内</w:t>
      </w:r>
    </w:p>
    <w:p>
      <w:pPr>
        <w:spacing w:line="420" w:lineRule="exact"/>
        <w:ind w:firstLine="480" w:firstLineChars="200"/>
        <w:rPr>
          <w:rFonts w:ascii="宋体" w:hAnsi="宋体" w:cs="宋体"/>
          <w:sz w:val="24"/>
          <w:szCs w:val="24"/>
        </w:rPr>
      </w:pPr>
      <w:r>
        <w:rPr>
          <w:rFonts w:hint="eastAsia" w:ascii="宋体" w:hAnsi="宋体" w:cs="宋体"/>
          <w:sz w:val="24"/>
        </w:rPr>
        <w:t>6.</w:t>
      </w:r>
      <w:r>
        <w:rPr>
          <w:rFonts w:hint="eastAsia" w:ascii="宋体" w:hAnsi="宋体" w:cs="宋体"/>
          <w:sz w:val="24"/>
          <w:szCs w:val="24"/>
        </w:rPr>
        <w:t>交货地点：黄石市中心医院指定地点</w:t>
      </w:r>
    </w:p>
    <w:p>
      <w:pPr>
        <w:spacing w:line="420" w:lineRule="exact"/>
        <w:ind w:firstLine="480" w:firstLineChars="200"/>
        <w:rPr>
          <w:rFonts w:ascii="宋体" w:hAnsi="宋体" w:cs="宋体"/>
          <w:sz w:val="24"/>
          <w:szCs w:val="24"/>
        </w:rPr>
      </w:pPr>
      <w:r>
        <w:rPr>
          <w:rFonts w:hint="eastAsia" w:ascii="宋体" w:hAnsi="宋体" w:cs="宋体"/>
          <w:sz w:val="24"/>
        </w:rPr>
        <w:t>7.</w:t>
      </w:r>
      <w:r>
        <w:rPr>
          <w:rFonts w:hint="eastAsia" w:ascii="宋体" w:hAnsi="宋体" w:cs="宋体"/>
          <w:sz w:val="24"/>
          <w:szCs w:val="24"/>
        </w:rPr>
        <w:t>交货方式：免费上门安装调试</w:t>
      </w:r>
      <w:r>
        <w:rPr>
          <w:rFonts w:hint="eastAsia" w:ascii="宋体" w:hAnsi="宋体" w:cs="宋体"/>
          <w:sz w:val="24"/>
        </w:rPr>
        <w:t>至设备正常使用，验收合格</w:t>
      </w:r>
    </w:p>
    <w:p>
      <w:pPr>
        <w:spacing w:line="420" w:lineRule="exact"/>
        <w:ind w:left="719" w:leftChars="228" w:hanging="240" w:hangingChars="100"/>
        <w:rPr>
          <w:rFonts w:ascii="宋体" w:hAnsi="宋体" w:cs="宋体"/>
          <w:sz w:val="24"/>
          <w:szCs w:val="24"/>
        </w:rPr>
      </w:pPr>
      <w:r>
        <w:rPr>
          <w:rFonts w:hint="eastAsia" w:ascii="宋体" w:hAnsi="宋体" w:cs="宋体"/>
          <w:sz w:val="24"/>
        </w:rPr>
        <w:t>8.</w:t>
      </w:r>
      <w:r>
        <w:rPr>
          <w:rFonts w:hint="eastAsia" w:ascii="宋体" w:hAnsi="宋体" w:cs="宋体"/>
          <w:sz w:val="24"/>
          <w:szCs w:val="24"/>
        </w:rPr>
        <w:t>质</w:t>
      </w:r>
      <w:r>
        <w:rPr>
          <w:rFonts w:hint="eastAsia" w:ascii="宋体" w:hAnsi="宋体" w:cs="宋体"/>
          <w:sz w:val="24"/>
        </w:rPr>
        <w:t>保</w:t>
      </w:r>
      <w:r>
        <w:rPr>
          <w:rFonts w:hint="eastAsia" w:ascii="宋体" w:hAnsi="宋体" w:cs="宋体"/>
          <w:sz w:val="24"/>
          <w:szCs w:val="24"/>
        </w:rPr>
        <w:t>期：技术</w:t>
      </w:r>
      <w:r>
        <w:rPr>
          <w:rFonts w:hint="eastAsia" w:ascii="宋体" w:hAnsi="宋体" w:cs="宋体"/>
          <w:sz w:val="24"/>
        </w:rPr>
        <w:t>规范及要求中标明</w:t>
      </w:r>
      <w:r>
        <w:rPr>
          <w:rFonts w:hint="eastAsia" w:ascii="宋体" w:hAnsi="宋体" w:cs="宋体"/>
          <w:sz w:val="24"/>
          <w:szCs w:val="24"/>
        </w:rPr>
        <w:t>质</w:t>
      </w:r>
      <w:r>
        <w:rPr>
          <w:rFonts w:hint="eastAsia" w:ascii="宋体" w:hAnsi="宋体" w:cs="宋体"/>
          <w:sz w:val="24"/>
        </w:rPr>
        <w:t>保</w:t>
      </w:r>
      <w:r>
        <w:rPr>
          <w:rFonts w:hint="eastAsia" w:ascii="宋体" w:hAnsi="宋体" w:cs="宋体"/>
          <w:sz w:val="24"/>
          <w:szCs w:val="24"/>
        </w:rPr>
        <w:t>期的以其为准，未标明的均为验收合格后</w:t>
      </w:r>
      <w:r>
        <w:rPr>
          <w:rFonts w:hint="eastAsia" w:ascii="宋体" w:hAnsi="宋体" w:cs="宋体"/>
          <w:sz w:val="24"/>
        </w:rPr>
        <w:t>不少于三年</w:t>
      </w:r>
    </w:p>
    <w:p>
      <w:pPr>
        <w:spacing w:line="420" w:lineRule="exact"/>
        <w:ind w:firstLine="480" w:firstLineChars="200"/>
        <w:rPr>
          <w:rFonts w:ascii="宋体" w:hAnsi="宋体" w:cs="宋体"/>
          <w:sz w:val="24"/>
        </w:rPr>
      </w:pPr>
      <w:r>
        <w:rPr>
          <w:rFonts w:hint="eastAsia" w:ascii="宋体" w:hAnsi="宋体" w:cs="宋体"/>
          <w:sz w:val="24"/>
        </w:rPr>
        <w:t>9</w:t>
      </w:r>
      <w:r>
        <w:rPr>
          <w:rFonts w:ascii="宋体" w:hAnsi="宋体" w:cs="宋体"/>
          <w:sz w:val="24"/>
        </w:rPr>
        <w:t>.</w:t>
      </w:r>
      <w:r>
        <w:rPr>
          <w:rFonts w:hint="eastAsia" w:ascii="宋体" w:hAnsi="宋体" w:cs="宋体"/>
          <w:sz w:val="24"/>
        </w:rPr>
        <w:t>质量要求：符合国家管理、质检部门合格标准</w:t>
      </w:r>
      <w:bookmarkStart w:id="37" w:name="_Toc528494286"/>
      <w:bookmarkStart w:id="38" w:name="_Hlk18936003"/>
      <w:bookmarkStart w:id="39" w:name="_Toc528493087"/>
      <w:bookmarkStart w:id="40" w:name="_Toc528493168"/>
      <w:bookmarkStart w:id="41" w:name="_Toc528493580"/>
      <w:bookmarkStart w:id="42" w:name="_Toc528493135"/>
    </w:p>
    <w:p>
      <w:pPr>
        <w:pStyle w:val="11"/>
        <w:numPr>
          <w:ilvl w:val="0"/>
          <w:numId w:val="1"/>
        </w:numPr>
        <w:spacing w:line="360" w:lineRule="auto"/>
        <w:ind w:firstLineChars="0"/>
        <w:rPr>
          <w:b/>
          <w:sz w:val="24"/>
        </w:rPr>
      </w:pPr>
      <w:r>
        <w:rPr>
          <w:rFonts w:hint="eastAsia" w:ascii="宋体" w:hAnsi="宋体" w:cs="宋体"/>
          <w:b/>
          <w:bCs/>
          <w:sz w:val="24"/>
        </w:rPr>
        <w:t>技术规格及要求：</w:t>
      </w:r>
      <w:bookmarkEnd w:id="37"/>
      <w:bookmarkEnd w:id="38"/>
      <w:bookmarkEnd w:id="39"/>
      <w:bookmarkEnd w:id="40"/>
      <w:bookmarkEnd w:id="41"/>
      <w:bookmarkEnd w:id="42"/>
    </w:p>
    <w:p>
      <w:pPr>
        <w:pStyle w:val="2"/>
      </w:pPr>
      <w:r>
        <w:rPr>
          <w:rFonts w:hint="eastAsia" w:ascii="宋体" w:hAnsi="宋体" w:cs="方正正粗黑简体"/>
          <w:sz w:val="24"/>
          <w:szCs w:val="24"/>
        </w:rPr>
        <w:t>技术需求</w:t>
      </w:r>
    </w:p>
    <w:tbl>
      <w:tblPr>
        <w:tblStyle w:val="8"/>
        <w:tblW w:w="9669" w:type="dxa"/>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1705"/>
        <w:gridCol w:w="7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noWrap w:val="0"/>
            <w:vAlign w:val="top"/>
          </w:tcPr>
          <w:p>
            <w:pPr>
              <w:jc w:val="center"/>
              <w:rPr>
                <w:rFonts w:hint="eastAsia" w:ascii="Arial" w:hAnsi="Arial" w:cs="Arial"/>
                <w:b/>
                <w:bCs/>
                <w:sz w:val="24"/>
                <w:szCs w:val="24"/>
              </w:rPr>
            </w:pPr>
            <w:r>
              <w:rPr>
                <w:rFonts w:hint="eastAsia" w:ascii="Arial" w:hAnsi="Arial" w:cs="Arial"/>
                <w:b/>
                <w:bCs/>
                <w:sz w:val="24"/>
                <w:szCs w:val="24"/>
              </w:rPr>
              <w:t>序号</w:t>
            </w:r>
          </w:p>
        </w:tc>
        <w:tc>
          <w:tcPr>
            <w:tcW w:w="1705" w:type="dxa"/>
            <w:noWrap w:val="0"/>
            <w:vAlign w:val="center"/>
          </w:tcPr>
          <w:p>
            <w:pPr>
              <w:jc w:val="center"/>
              <w:rPr>
                <w:rFonts w:hint="eastAsia" w:ascii="Arial" w:hAnsi="Arial" w:eastAsia="宋体" w:cs="Arial"/>
                <w:b/>
                <w:bCs/>
                <w:sz w:val="24"/>
                <w:szCs w:val="24"/>
                <w:lang w:val="en-US" w:eastAsia="zh-CN"/>
              </w:rPr>
            </w:pPr>
            <w:r>
              <w:rPr>
                <w:rFonts w:hint="eastAsia" w:ascii="Arial" w:hAnsi="Arial" w:cs="Arial"/>
                <w:b/>
                <w:bCs/>
                <w:sz w:val="24"/>
                <w:szCs w:val="24"/>
              </w:rPr>
              <w:t>技术</w:t>
            </w:r>
            <w:r>
              <w:rPr>
                <w:rFonts w:hint="eastAsia" w:ascii="Arial" w:hAnsi="Arial" w:cs="Arial"/>
                <w:b/>
                <w:bCs/>
                <w:sz w:val="24"/>
                <w:szCs w:val="24"/>
                <w:lang w:eastAsia="zh-CN"/>
              </w:rPr>
              <w:t>和性能参数名称</w:t>
            </w:r>
          </w:p>
        </w:tc>
        <w:tc>
          <w:tcPr>
            <w:tcW w:w="7159" w:type="dxa"/>
            <w:noWrap w:val="0"/>
            <w:vAlign w:val="center"/>
          </w:tcPr>
          <w:p>
            <w:pPr>
              <w:jc w:val="center"/>
              <w:rPr>
                <w:rFonts w:hint="eastAsia" w:ascii="Arial" w:hAnsi="Arial" w:cs="Arial"/>
                <w:b/>
                <w:bCs/>
                <w:sz w:val="24"/>
                <w:szCs w:val="24"/>
              </w:rPr>
            </w:pPr>
            <w:r>
              <w:rPr>
                <w:rFonts w:hint="eastAsia" w:ascii="Arial" w:hAnsi="Arial" w:cs="Arial"/>
                <w:b/>
                <w:bCs/>
                <w:sz w:val="24"/>
                <w:szCs w:val="24"/>
              </w:rPr>
              <w:t>技术</w:t>
            </w:r>
            <w:r>
              <w:rPr>
                <w:rFonts w:hint="eastAsia" w:ascii="Arial" w:hAnsi="Arial" w:cs="Arial"/>
                <w:b/>
                <w:bCs/>
                <w:sz w:val="24"/>
                <w:szCs w:val="24"/>
                <w:lang w:eastAsia="zh-CN"/>
              </w:rPr>
              <w:t>和性能参数要求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noWrap w:val="0"/>
            <w:vAlign w:val="center"/>
          </w:tcPr>
          <w:p>
            <w:pPr>
              <w:bidi w:val="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r>
              <w:rPr>
                <w:rFonts w:hint="eastAsia" w:ascii="宋体" w:hAnsi="宋体" w:cs="宋体"/>
                <w:color w:val="000000"/>
                <w:sz w:val="18"/>
                <w:szCs w:val="18"/>
                <w:lang w:val="en-US" w:eastAsia="zh-CN"/>
              </w:rPr>
              <w:t>1</w:t>
            </w:r>
          </w:p>
        </w:tc>
        <w:tc>
          <w:tcPr>
            <w:tcW w:w="1705" w:type="dxa"/>
            <w:noWrap w:val="0"/>
            <w:vAlign w:val="center"/>
          </w:tcPr>
          <w:p>
            <w:pPr>
              <w:rPr>
                <w:rFonts w:hint="eastAsia" w:ascii="宋体" w:hAnsi="宋体" w:eastAsia="宋体" w:cs="宋体"/>
                <w:sz w:val="18"/>
                <w:szCs w:val="18"/>
                <w:lang w:eastAsia="zh-CN"/>
              </w:rPr>
            </w:pPr>
            <w:r>
              <w:rPr>
                <w:rFonts w:hint="eastAsia" w:ascii="宋体" w:hAnsi="宋体" w:eastAsia="宋体" w:cs="宋体"/>
                <w:sz w:val="18"/>
                <w:szCs w:val="18"/>
                <w:lang w:eastAsia="zh-CN"/>
              </w:rPr>
              <w:t>设备功能</w:t>
            </w:r>
          </w:p>
        </w:tc>
        <w:tc>
          <w:tcPr>
            <w:tcW w:w="7159" w:type="dxa"/>
            <w:noWrap w:val="0"/>
            <w:vAlign w:val="center"/>
          </w:tcPr>
          <w:p>
            <w:pPr>
              <w:rPr>
                <w:rFonts w:hint="eastAsia" w:ascii="宋体" w:hAnsi="宋体" w:eastAsia="宋体" w:cs="宋体"/>
                <w:sz w:val="18"/>
                <w:szCs w:val="18"/>
              </w:rPr>
            </w:pPr>
            <w:r>
              <w:rPr>
                <w:rFonts w:hint="eastAsia" w:ascii="宋体" w:hAnsi="宋体" w:eastAsia="宋体" w:cs="宋体"/>
                <w:sz w:val="18"/>
                <w:szCs w:val="18"/>
                <w:lang w:val="en-US" w:eastAsia="zh-CN"/>
              </w:rPr>
              <w:t>适用于</w:t>
            </w:r>
            <w:r>
              <w:rPr>
                <w:rFonts w:hint="eastAsia" w:ascii="宋体" w:hAnsi="宋体" w:cs="宋体"/>
                <w:sz w:val="18"/>
                <w:szCs w:val="18"/>
                <w:lang w:val="en-US" w:eastAsia="zh-CN"/>
              </w:rPr>
              <w:t>医院</w:t>
            </w:r>
            <w:r>
              <w:rPr>
                <w:rFonts w:hint="eastAsia" w:ascii="宋体" w:hAnsi="宋体" w:eastAsia="宋体" w:cs="宋体"/>
                <w:sz w:val="18"/>
                <w:szCs w:val="18"/>
                <w:lang w:val="en-US" w:eastAsia="zh-CN"/>
              </w:rPr>
              <w:t>皮肤科</w:t>
            </w:r>
            <w:r>
              <w:rPr>
                <w:rFonts w:hint="eastAsia" w:ascii="宋体" w:hAnsi="宋体" w:cs="宋体"/>
                <w:sz w:val="18"/>
                <w:szCs w:val="18"/>
                <w:lang w:val="en-US" w:eastAsia="zh-CN"/>
              </w:rPr>
              <w:t>、中医科等科室。设备通过熏蒸透皮给药吸收的方法，使热药离子有效的渗透肌肤，使人体血管扩张，</w:t>
            </w:r>
            <w:r>
              <w:rPr>
                <w:rFonts w:hint="eastAsia" w:ascii="宋体" w:hAnsi="宋体" w:eastAsia="宋体" w:cs="宋体"/>
                <w:sz w:val="18"/>
                <w:szCs w:val="18"/>
                <w:lang w:val="en-US" w:eastAsia="zh-CN"/>
              </w:rPr>
              <w:t>促进人体血液循环</w:t>
            </w:r>
            <w:r>
              <w:rPr>
                <w:rFonts w:hint="eastAsia" w:ascii="宋体" w:hAnsi="宋体" w:cs="宋体"/>
                <w:sz w:val="18"/>
                <w:szCs w:val="18"/>
                <w:lang w:val="en-US" w:eastAsia="zh-CN"/>
              </w:rPr>
              <w:t>，改善人体组织营养，活血化瘀，</w:t>
            </w:r>
            <w:r>
              <w:rPr>
                <w:rFonts w:hint="eastAsia" w:ascii="宋体" w:hAnsi="宋体" w:eastAsia="宋体" w:cs="宋体"/>
                <w:sz w:val="18"/>
                <w:szCs w:val="18"/>
                <w:lang w:val="en-US" w:eastAsia="zh-CN"/>
              </w:rPr>
              <w:t>配合进行红黄蓝绿不同的光谱</w:t>
            </w:r>
            <w:r>
              <w:rPr>
                <w:rFonts w:hint="eastAsia" w:ascii="宋体" w:hAnsi="宋体" w:cs="宋体"/>
                <w:sz w:val="18"/>
                <w:szCs w:val="18"/>
                <w:lang w:val="en-US" w:eastAsia="zh-CN"/>
              </w:rPr>
              <w:t>治</w:t>
            </w:r>
            <w:r>
              <w:rPr>
                <w:rFonts w:hint="eastAsia" w:ascii="宋体" w:hAnsi="宋体" w:eastAsia="宋体" w:cs="宋体"/>
                <w:sz w:val="18"/>
                <w:szCs w:val="18"/>
                <w:lang w:val="en-US" w:eastAsia="zh-CN"/>
              </w:rPr>
              <w:t>疗，</w:t>
            </w:r>
            <w:r>
              <w:rPr>
                <w:rFonts w:hint="eastAsia" w:ascii="宋体" w:hAnsi="宋体" w:cs="宋体"/>
                <w:sz w:val="18"/>
                <w:szCs w:val="18"/>
                <w:lang w:val="en-US" w:eastAsia="zh-CN"/>
              </w:rPr>
              <w:t>对于美容美体，风湿病等</w:t>
            </w:r>
            <w:r>
              <w:rPr>
                <w:rFonts w:hint="eastAsia" w:ascii="宋体" w:hAnsi="宋体" w:eastAsia="宋体" w:cs="宋体"/>
                <w:sz w:val="18"/>
                <w:szCs w:val="18"/>
                <w:lang w:val="en-US" w:eastAsia="zh-CN"/>
              </w:rPr>
              <w:t>治疗效果明显。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noWrap w:val="0"/>
            <w:vAlign w:val="center"/>
          </w:tcPr>
          <w:p>
            <w:pPr>
              <w:bidi w:val="0"/>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w:t>
            </w:r>
          </w:p>
        </w:tc>
        <w:tc>
          <w:tcPr>
            <w:tcW w:w="1705" w:type="dxa"/>
            <w:noWrap w:val="0"/>
            <w:vAlign w:val="center"/>
          </w:tcPr>
          <w:p>
            <w:pP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设备结构、特点</w:t>
            </w:r>
          </w:p>
        </w:tc>
        <w:tc>
          <w:tcPr>
            <w:tcW w:w="7159" w:type="dxa"/>
            <w:noWrap w:val="0"/>
            <w:vAlign w:val="center"/>
          </w:tcPr>
          <w:p>
            <w:pPr>
              <w:rPr>
                <w:rFonts w:hint="default" w:ascii="宋体" w:hAnsi="宋体" w:eastAsia="宋体" w:cs="宋体"/>
                <w:sz w:val="18"/>
                <w:szCs w:val="18"/>
                <w:lang w:val="en-US" w:eastAsia="zh-CN"/>
              </w:rPr>
            </w:pPr>
            <w:r>
              <w:rPr>
                <w:rFonts w:hint="eastAsia" w:ascii="宋体" w:hAnsi="宋体" w:eastAsia="宋体" w:cs="宋体"/>
                <w:sz w:val="18"/>
                <w:szCs w:val="18"/>
              </w:rPr>
              <w:t>采用</w:t>
            </w:r>
            <w:r>
              <w:rPr>
                <w:rFonts w:hint="eastAsia" w:ascii="宋体" w:hAnsi="宋体" w:eastAsia="宋体" w:cs="宋体"/>
                <w:sz w:val="18"/>
                <w:szCs w:val="18"/>
                <w:lang w:val="en-US" w:eastAsia="zh-CN"/>
              </w:rPr>
              <w:t>露头式</w:t>
            </w:r>
            <w:r>
              <w:rPr>
                <w:rFonts w:hint="eastAsia" w:ascii="宋体" w:hAnsi="宋体" w:cs="宋体"/>
                <w:sz w:val="18"/>
                <w:szCs w:val="18"/>
                <w:lang w:val="en-US" w:eastAsia="zh-CN"/>
              </w:rPr>
              <w:t>加大太空舱式设计。</w:t>
            </w:r>
            <w:r>
              <w:rPr>
                <w:rFonts w:hint="eastAsia" w:ascii="宋体" w:hAnsi="宋体" w:eastAsia="宋体" w:cs="宋体"/>
                <w:color w:val="auto"/>
                <w:sz w:val="18"/>
                <w:szCs w:val="18"/>
                <w:lang w:val="en-US" w:eastAsia="zh-CN"/>
              </w:rPr>
              <w:t>具备</w:t>
            </w:r>
            <w:r>
              <w:rPr>
                <w:rFonts w:hint="eastAsia" w:ascii="宋体" w:hAnsi="宋体" w:eastAsia="宋体" w:cs="宋体"/>
                <w:sz w:val="18"/>
                <w:szCs w:val="18"/>
                <w:lang w:val="en-US" w:eastAsia="zh-CN"/>
              </w:rPr>
              <w:t>座椅升降</w:t>
            </w:r>
            <w:r>
              <w:rPr>
                <w:rFonts w:hint="eastAsia" w:ascii="宋体" w:hAnsi="宋体" w:cs="宋体"/>
                <w:sz w:val="18"/>
                <w:szCs w:val="18"/>
                <w:lang w:val="en-US" w:eastAsia="zh-CN"/>
              </w:rPr>
              <w:t>功能，</w:t>
            </w:r>
            <w:r>
              <w:rPr>
                <w:rFonts w:hint="eastAsia" w:ascii="宋体" w:hAnsi="宋体" w:eastAsia="宋体" w:cs="宋体"/>
                <w:sz w:val="18"/>
                <w:szCs w:val="18"/>
                <w:lang w:val="en-US" w:eastAsia="zh-CN"/>
              </w:rPr>
              <w:t>高度可根据患者身高</w:t>
            </w:r>
            <w:r>
              <w:rPr>
                <w:rFonts w:hint="eastAsia" w:ascii="宋体" w:hAnsi="宋体" w:cs="宋体"/>
                <w:sz w:val="18"/>
                <w:szCs w:val="18"/>
                <w:lang w:val="en-US" w:eastAsia="zh-CN"/>
              </w:rPr>
              <w:t>灵活方便</w:t>
            </w:r>
            <w:r>
              <w:rPr>
                <w:rFonts w:hint="eastAsia" w:ascii="宋体" w:hAnsi="宋体" w:eastAsia="宋体" w:cs="宋体"/>
                <w:sz w:val="18"/>
                <w:szCs w:val="18"/>
                <w:lang w:val="en-US" w:eastAsia="zh-CN"/>
              </w:rPr>
              <w:t>调节</w:t>
            </w:r>
            <w:r>
              <w:rPr>
                <w:rFonts w:hint="eastAsia" w:ascii="宋体" w:hAnsi="宋体" w:cs="宋体"/>
                <w:sz w:val="18"/>
                <w:szCs w:val="18"/>
                <w:lang w:val="en-US" w:eastAsia="zh-CN"/>
              </w:rPr>
              <w:t>到</w:t>
            </w:r>
            <w:r>
              <w:rPr>
                <w:rFonts w:hint="eastAsia" w:ascii="宋体" w:hAnsi="宋体" w:eastAsia="宋体" w:cs="宋体"/>
                <w:sz w:val="18"/>
                <w:szCs w:val="18"/>
                <w:lang w:val="en-US" w:eastAsia="zh-CN"/>
              </w:rPr>
              <w:t>适合位置，操作</w:t>
            </w:r>
            <w:r>
              <w:rPr>
                <w:rFonts w:hint="eastAsia" w:ascii="宋体" w:hAnsi="宋体" w:cs="宋体"/>
                <w:sz w:val="18"/>
                <w:szCs w:val="18"/>
                <w:lang w:val="en-US" w:eastAsia="zh-CN"/>
              </w:rPr>
              <w:t>简单</w:t>
            </w:r>
            <w:r>
              <w:rPr>
                <w:rFonts w:hint="eastAsia" w:ascii="宋体" w:hAnsi="宋体" w:eastAsia="宋体" w:cs="宋体"/>
                <w:sz w:val="18"/>
                <w:szCs w:val="18"/>
                <w:lang w:val="en-US" w:eastAsia="zh-CN"/>
              </w:rPr>
              <w:t>。</w:t>
            </w:r>
            <w:r>
              <w:rPr>
                <w:rFonts w:hint="eastAsia" w:ascii="宋体" w:hAnsi="宋体" w:cs="宋体"/>
                <w:sz w:val="18"/>
                <w:szCs w:val="18"/>
                <w:lang w:val="en-US" w:eastAsia="zh-CN"/>
              </w:rPr>
              <w:t>设备智能化程度高，保护功能齐全确保使用安全。具备刹车脚轮，移动固定方便。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noWrap w:val="0"/>
            <w:vAlign w:val="center"/>
          </w:tcPr>
          <w:p>
            <w:pPr>
              <w:bidi w:val="0"/>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w:t>
            </w:r>
          </w:p>
        </w:tc>
        <w:tc>
          <w:tcPr>
            <w:tcW w:w="1705" w:type="dxa"/>
            <w:noWrap w:val="0"/>
            <w:vAlign w:val="center"/>
          </w:tcPr>
          <w:p>
            <w:pPr>
              <w:rPr>
                <w:rFonts w:hint="eastAsia" w:ascii="宋体" w:hAnsi="宋体" w:eastAsia="宋体" w:cs="宋体"/>
                <w:sz w:val="18"/>
                <w:szCs w:val="18"/>
                <w:lang w:eastAsia="zh-CN"/>
              </w:rPr>
            </w:pPr>
            <w:r>
              <w:rPr>
                <w:rFonts w:hint="eastAsia" w:ascii="宋体" w:hAnsi="宋体" w:eastAsia="宋体" w:cs="宋体"/>
                <w:sz w:val="18"/>
                <w:szCs w:val="18"/>
                <w:lang w:eastAsia="zh-CN"/>
              </w:rPr>
              <w:t>设备材质</w:t>
            </w:r>
          </w:p>
        </w:tc>
        <w:tc>
          <w:tcPr>
            <w:tcW w:w="7159" w:type="dxa"/>
            <w:noWrap w:val="0"/>
            <w:vAlign w:val="center"/>
          </w:tcPr>
          <w:p>
            <w:pP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加厚</w:t>
            </w:r>
            <w:r>
              <w:rPr>
                <w:rFonts w:hint="eastAsia" w:ascii="宋体" w:hAnsi="宋体" w:cs="宋体"/>
                <w:sz w:val="18"/>
                <w:szCs w:val="18"/>
                <w:lang w:val="en-US" w:eastAsia="zh-CN"/>
              </w:rPr>
              <w:t>、</w:t>
            </w:r>
            <w:r>
              <w:rPr>
                <w:rFonts w:hint="eastAsia" w:ascii="宋体" w:hAnsi="宋体" w:eastAsia="宋体" w:cs="宋体"/>
                <w:sz w:val="18"/>
                <w:szCs w:val="18"/>
                <w:lang w:val="en-US" w:eastAsia="zh-CN"/>
              </w:rPr>
              <w:t>保温</w:t>
            </w:r>
            <w:r>
              <w:rPr>
                <w:rFonts w:hint="eastAsia" w:ascii="宋体" w:hAnsi="宋体" w:cs="宋体"/>
                <w:sz w:val="18"/>
                <w:szCs w:val="18"/>
                <w:lang w:val="en-US" w:eastAsia="zh-CN"/>
              </w:rPr>
              <w:t>、防水</w:t>
            </w:r>
            <w:r>
              <w:rPr>
                <w:rFonts w:hint="eastAsia" w:ascii="宋体" w:hAnsi="宋体" w:eastAsia="宋体" w:cs="宋体"/>
                <w:sz w:val="18"/>
                <w:szCs w:val="18"/>
                <w:lang w:val="en-US" w:eastAsia="zh-CN"/>
              </w:rPr>
              <w:t>材料</w:t>
            </w:r>
            <w:r>
              <w:rPr>
                <w:rFonts w:hint="eastAsia" w:ascii="宋体" w:hAnsi="宋体" w:cs="宋体"/>
                <w:sz w:val="18"/>
                <w:szCs w:val="18"/>
                <w:lang w:val="en-US" w:eastAsia="zh-CN"/>
              </w:rPr>
              <w:t>，结构强度大，</w:t>
            </w:r>
            <w:r>
              <w:rPr>
                <w:rFonts w:hint="eastAsia" w:ascii="宋体" w:hAnsi="宋体" w:eastAsia="宋体" w:cs="宋体"/>
                <w:sz w:val="18"/>
                <w:szCs w:val="18"/>
                <w:lang w:val="en-US" w:eastAsia="zh-CN"/>
              </w:rPr>
              <w:t>节电及保温效果</w:t>
            </w:r>
            <w:r>
              <w:rPr>
                <w:rFonts w:hint="eastAsia" w:ascii="宋体" w:hAnsi="宋体" w:cs="宋体"/>
                <w:sz w:val="18"/>
                <w:szCs w:val="18"/>
                <w:lang w:val="en-US" w:eastAsia="zh-CN"/>
              </w:rPr>
              <w:t>好，经久耐用。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noWrap w:val="0"/>
            <w:vAlign w:val="center"/>
          </w:tcPr>
          <w:p>
            <w:pPr>
              <w:bidi w:val="0"/>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4</w:t>
            </w:r>
          </w:p>
        </w:tc>
        <w:tc>
          <w:tcPr>
            <w:tcW w:w="1705" w:type="dxa"/>
            <w:noWrap w:val="0"/>
            <w:vAlign w:val="center"/>
          </w:tcPr>
          <w:p>
            <w:pPr>
              <w:rPr>
                <w:rFonts w:hint="default" w:ascii="宋体" w:hAnsi="宋体" w:eastAsia="宋体" w:cs="宋体"/>
                <w:sz w:val="18"/>
                <w:szCs w:val="18"/>
                <w:lang w:val="en-US" w:eastAsia="zh-CN"/>
              </w:rPr>
            </w:pPr>
            <w:r>
              <w:rPr>
                <w:rFonts w:hint="eastAsia" w:ascii="宋体" w:hAnsi="宋体" w:cs="宋体"/>
                <w:sz w:val="18"/>
                <w:szCs w:val="18"/>
                <w:lang w:val="en-US" w:eastAsia="zh-CN"/>
              </w:rPr>
              <w:t>显示功能</w:t>
            </w:r>
          </w:p>
        </w:tc>
        <w:tc>
          <w:tcPr>
            <w:tcW w:w="7159" w:type="dxa"/>
            <w:noWrap w:val="0"/>
            <w:vAlign w:val="center"/>
          </w:tcPr>
          <w:p>
            <w:pPr>
              <w:rPr>
                <w:rFonts w:hint="eastAsia" w:ascii="宋体" w:hAnsi="宋体" w:eastAsia="宋体" w:cs="宋体"/>
                <w:sz w:val="18"/>
                <w:szCs w:val="18"/>
                <w:lang w:val="en-US" w:eastAsia="zh-CN"/>
              </w:rPr>
            </w:pPr>
            <w:r>
              <w:rPr>
                <w:rFonts w:hint="eastAsia" w:ascii="宋体" w:hAnsi="宋体" w:cs="宋体"/>
                <w:sz w:val="18"/>
                <w:szCs w:val="18"/>
                <w:lang w:val="en-US" w:eastAsia="zh-CN"/>
              </w:rPr>
              <w:t>具备。</w:t>
            </w:r>
            <w:r>
              <w:rPr>
                <w:rFonts w:hint="eastAsia" w:ascii="宋体" w:hAnsi="宋体" w:eastAsia="宋体" w:cs="宋体"/>
                <w:sz w:val="18"/>
                <w:szCs w:val="18"/>
                <w:lang w:val="en-US" w:eastAsia="zh-CN"/>
              </w:rPr>
              <w:t>微电脑</w:t>
            </w:r>
            <w:r>
              <w:rPr>
                <w:rFonts w:hint="eastAsia" w:ascii="宋体" w:hAnsi="宋体" w:cs="宋体"/>
                <w:sz w:val="18"/>
                <w:szCs w:val="18"/>
                <w:lang w:val="en-US" w:eastAsia="zh-CN"/>
              </w:rPr>
              <w:t>控制，</w:t>
            </w:r>
            <w:r>
              <w:rPr>
                <w:rFonts w:hint="eastAsia" w:ascii="宋体" w:hAnsi="宋体" w:eastAsia="宋体" w:cs="宋体"/>
                <w:sz w:val="18"/>
                <w:szCs w:val="18"/>
                <w:lang w:val="en-US" w:eastAsia="zh-CN"/>
              </w:rPr>
              <w:t>液晶数字显示，实时显示温度/时间，便于治疗人员及操作人员在治疗过程中随时查看各种治疗数据</w:t>
            </w:r>
            <w:r>
              <w:rPr>
                <w:rFonts w:hint="eastAsia" w:ascii="宋体" w:hAnsi="宋体" w:cs="宋体"/>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noWrap w:val="0"/>
            <w:vAlign w:val="center"/>
          </w:tcPr>
          <w:p>
            <w:pPr>
              <w:bidi w:val="0"/>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5</w:t>
            </w:r>
          </w:p>
        </w:tc>
        <w:tc>
          <w:tcPr>
            <w:tcW w:w="1705" w:type="dxa"/>
            <w:noWrap w:val="0"/>
            <w:vAlign w:val="center"/>
          </w:tcPr>
          <w:p>
            <w:pPr>
              <w:rPr>
                <w:rFonts w:hint="default" w:ascii="宋体" w:hAnsi="宋体" w:eastAsia="宋体" w:cs="宋体"/>
                <w:sz w:val="18"/>
                <w:szCs w:val="18"/>
                <w:lang w:val="en-US" w:eastAsia="zh-CN"/>
              </w:rPr>
            </w:pPr>
            <w:r>
              <w:rPr>
                <w:rFonts w:hint="eastAsia" w:ascii="宋体" w:hAnsi="宋体" w:cs="宋体"/>
                <w:sz w:val="18"/>
                <w:szCs w:val="18"/>
                <w:lang w:val="en-US" w:eastAsia="zh-CN"/>
              </w:rPr>
              <w:t>光谱治疗</w:t>
            </w:r>
          </w:p>
        </w:tc>
        <w:tc>
          <w:tcPr>
            <w:tcW w:w="7159" w:type="dxa"/>
            <w:noWrap w:val="0"/>
            <w:vAlign w:val="center"/>
          </w:tcPr>
          <w:p>
            <w:pPr>
              <w:rPr>
                <w:rFonts w:hint="eastAsia" w:ascii="宋体" w:hAnsi="宋体" w:eastAsia="宋体" w:cs="宋体"/>
                <w:sz w:val="18"/>
                <w:szCs w:val="18"/>
                <w:lang w:val="en-US" w:eastAsia="zh-CN"/>
              </w:rPr>
            </w:pPr>
            <w:r>
              <w:rPr>
                <w:rFonts w:hint="eastAsia" w:ascii="宋体" w:hAnsi="宋体" w:cs="宋体"/>
                <w:sz w:val="18"/>
                <w:szCs w:val="18"/>
                <w:lang w:val="en-US" w:eastAsia="zh-CN"/>
              </w:rPr>
              <w:t>具备。</w:t>
            </w:r>
            <w:r>
              <w:rPr>
                <w:rFonts w:hint="eastAsia" w:ascii="宋体" w:hAnsi="宋体" w:eastAsia="宋体" w:cs="宋体"/>
                <w:sz w:val="18"/>
                <w:szCs w:val="18"/>
                <w:lang w:val="en-US" w:eastAsia="zh-CN"/>
              </w:rPr>
              <w:t>配合中药进行红黄蓝绿不同的光谱疗促进人体血液循环，使治疗效果更加明显。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noWrap w:val="0"/>
            <w:vAlign w:val="center"/>
          </w:tcPr>
          <w:p>
            <w:pPr>
              <w:bidi w:val="0"/>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6</w:t>
            </w:r>
          </w:p>
        </w:tc>
        <w:tc>
          <w:tcPr>
            <w:tcW w:w="1705" w:type="dxa"/>
            <w:noWrap w:val="0"/>
            <w:vAlign w:val="center"/>
          </w:tcPr>
          <w:p>
            <w:pPr>
              <w:rPr>
                <w:rFonts w:hint="default" w:ascii="宋体" w:hAnsi="宋体" w:eastAsia="宋体" w:cs="宋体"/>
                <w:sz w:val="18"/>
                <w:szCs w:val="18"/>
                <w:lang w:val="en-US" w:eastAsia="zh-CN"/>
              </w:rPr>
            </w:pPr>
            <w:r>
              <w:rPr>
                <w:rFonts w:hint="eastAsia" w:ascii="宋体" w:hAnsi="宋体" w:cs="宋体"/>
                <w:sz w:val="18"/>
                <w:szCs w:val="18"/>
                <w:lang w:val="en-US" w:eastAsia="zh-CN"/>
              </w:rPr>
              <w:t>超温保护</w:t>
            </w:r>
          </w:p>
        </w:tc>
        <w:tc>
          <w:tcPr>
            <w:tcW w:w="7159" w:type="dxa"/>
            <w:noWrap w:val="0"/>
            <w:vAlign w:val="center"/>
          </w:tcPr>
          <w:p>
            <w:pPr>
              <w:rPr>
                <w:rFonts w:hint="default" w:ascii="宋体" w:hAnsi="宋体" w:eastAsia="宋体" w:cs="宋体"/>
                <w:sz w:val="18"/>
                <w:szCs w:val="18"/>
                <w:lang w:val="en-US" w:eastAsia="zh-CN"/>
              </w:rPr>
            </w:pPr>
            <w:r>
              <w:rPr>
                <w:rFonts w:hint="eastAsia" w:ascii="宋体" w:hAnsi="宋体" w:cs="宋体"/>
                <w:sz w:val="18"/>
                <w:szCs w:val="18"/>
                <w:lang w:val="en-US" w:eastAsia="zh-CN"/>
              </w:rPr>
              <w:t>具备</w:t>
            </w:r>
            <w:r>
              <w:rPr>
                <w:rFonts w:hint="eastAsia" w:ascii="宋体" w:hAnsi="宋体" w:eastAsia="宋体" w:cs="宋体"/>
                <w:sz w:val="18"/>
                <w:szCs w:val="18"/>
                <w:lang w:val="en-US" w:eastAsia="zh-CN"/>
              </w:rPr>
              <w:t>超温保护</w:t>
            </w:r>
            <w:r>
              <w:rPr>
                <w:rFonts w:hint="eastAsia" w:ascii="宋体" w:hAnsi="宋体" w:cs="宋体"/>
                <w:sz w:val="18"/>
                <w:szCs w:val="18"/>
                <w:lang w:val="en-US" w:eastAsia="zh-CN"/>
              </w:rPr>
              <w:t>功能，</w:t>
            </w:r>
            <w:r>
              <w:rPr>
                <w:rFonts w:hint="eastAsia" w:ascii="宋体" w:hAnsi="宋体" w:eastAsia="宋体" w:cs="宋体"/>
                <w:sz w:val="18"/>
                <w:szCs w:val="18"/>
                <w:lang w:val="en-US" w:eastAsia="zh-CN"/>
              </w:rPr>
              <w:t>具有两路独立的超温保护装置，第一路实时监测与控制蒸汽输出的温度，当第一路出现不可预测的故障，第二路保护立即启动，保证温度稳定的输出当超温时切断加热电源，使熏蒸过程得到双重保护。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noWrap w:val="0"/>
            <w:vAlign w:val="center"/>
          </w:tcPr>
          <w:p>
            <w:pPr>
              <w:bidi w:val="0"/>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7</w:t>
            </w:r>
          </w:p>
        </w:tc>
        <w:tc>
          <w:tcPr>
            <w:tcW w:w="1705" w:type="dxa"/>
            <w:noWrap w:val="0"/>
            <w:vAlign w:val="center"/>
          </w:tcPr>
          <w:p>
            <w:pPr>
              <w:rPr>
                <w:rFonts w:hint="default" w:ascii="宋体" w:hAnsi="宋体" w:cs="宋体"/>
                <w:sz w:val="18"/>
                <w:szCs w:val="18"/>
                <w:lang w:val="en-US" w:eastAsia="zh-CN"/>
              </w:rPr>
            </w:pPr>
            <w:r>
              <w:rPr>
                <w:rFonts w:hint="eastAsia" w:ascii="宋体" w:hAnsi="宋体" w:cs="宋体"/>
                <w:sz w:val="18"/>
                <w:szCs w:val="18"/>
                <w:lang w:val="en-US" w:eastAsia="zh-CN"/>
              </w:rPr>
              <w:t>安全保护</w:t>
            </w:r>
          </w:p>
        </w:tc>
        <w:tc>
          <w:tcPr>
            <w:tcW w:w="7159" w:type="dxa"/>
            <w:noWrap w:val="0"/>
            <w:vAlign w:val="center"/>
          </w:tcPr>
          <w:p>
            <w:pPr>
              <w:rPr>
                <w:rFonts w:hint="eastAsia" w:ascii="宋体" w:hAnsi="宋体" w:cs="宋体"/>
                <w:sz w:val="18"/>
                <w:szCs w:val="18"/>
                <w:lang w:val="en-US" w:eastAsia="zh-CN"/>
              </w:rPr>
            </w:pPr>
            <w:r>
              <w:rPr>
                <w:rFonts w:hint="eastAsia" w:ascii="宋体" w:hAnsi="宋体" w:cs="宋体"/>
                <w:sz w:val="18"/>
                <w:szCs w:val="18"/>
                <w:lang w:val="en-US" w:eastAsia="zh-CN"/>
              </w:rPr>
              <w:t>具备</w:t>
            </w:r>
            <w:r>
              <w:rPr>
                <w:rFonts w:hint="eastAsia" w:ascii="宋体" w:hAnsi="宋体" w:eastAsia="宋体" w:cs="宋体"/>
                <w:sz w:val="18"/>
                <w:szCs w:val="18"/>
                <w:lang w:val="en-US" w:eastAsia="zh-CN"/>
              </w:rPr>
              <w:t>双重安全可靠性</w:t>
            </w:r>
            <w:r>
              <w:rPr>
                <w:rFonts w:hint="eastAsia" w:ascii="宋体" w:hAnsi="宋体" w:cs="宋体"/>
                <w:sz w:val="18"/>
                <w:szCs w:val="18"/>
                <w:lang w:val="en-US" w:eastAsia="zh-CN"/>
              </w:rPr>
              <w:t>保护，</w:t>
            </w:r>
            <w:r>
              <w:rPr>
                <w:rFonts w:hint="eastAsia" w:ascii="宋体" w:hAnsi="宋体" w:eastAsia="宋体" w:cs="宋体"/>
                <w:sz w:val="18"/>
                <w:szCs w:val="18"/>
                <w:lang w:val="en-US" w:eastAsia="zh-CN"/>
              </w:rPr>
              <w:t>软件保护及硬件插头接地双重保护特性，水电分离及漏电监测双重保护特性，缺水蜂鸣及干烧断电双重保护特性，低位加水及高位停水双重保护特性。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noWrap w:val="0"/>
            <w:vAlign w:val="center"/>
          </w:tcPr>
          <w:p>
            <w:pPr>
              <w:bidi w:val="0"/>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8</w:t>
            </w:r>
          </w:p>
        </w:tc>
        <w:tc>
          <w:tcPr>
            <w:tcW w:w="1705" w:type="dxa"/>
            <w:noWrap w:val="0"/>
            <w:vAlign w:val="center"/>
          </w:tcPr>
          <w:p>
            <w:pPr>
              <w:rPr>
                <w:rFonts w:hint="default" w:ascii="宋体" w:hAnsi="宋体" w:eastAsia="宋体" w:cs="宋体"/>
                <w:sz w:val="18"/>
                <w:szCs w:val="18"/>
                <w:lang w:val="en-US" w:eastAsia="zh-CN"/>
              </w:rPr>
            </w:pPr>
            <w:r>
              <w:rPr>
                <w:rFonts w:hint="eastAsia" w:ascii="宋体" w:hAnsi="宋体" w:cs="宋体"/>
                <w:sz w:val="18"/>
                <w:szCs w:val="18"/>
                <w:lang w:val="en-US" w:eastAsia="zh-CN"/>
              </w:rPr>
              <w:t>消毒功能</w:t>
            </w:r>
          </w:p>
        </w:tc>
        <w:tc>
          <w:tcPr>
            <w:tcW w:w="7159" w:type="dxa"/>
            <w:noWrap w:val="0"/>
            <w:vAlign w:val="center"/>
          </w:tcPr>
          <w:p>
            <w:pPr>
              <w:rPr>
                <w:rFonts w:hint="eastAsia" w:ascii="宋体" w:hAnsi="宋体" w:eastAsia="宋体" w:cs="宋体"/>
                <w:sz w:val="18"/>
                <w:szCs w:val="18"/>
                <w:lang w:val="en-US" w:eastAsia="zh-CN"/>
              </w:rPr>
            </w:pPr>
            <w:r>
              <w:rPr>
                <w:rFonts w:hint="eastAsia" w:ascii="宋体" w:hAnsi="宋体" w:cs="宋体"/>
                <w:sz w:val="18"/>
                <w:szCs w:val="18"/>
                <w:lang w:val="en-US" w:eastAsia="zh-CN"/>
              </w:rPr>
              <w:t>具备</w:t>
            </w:r>
            <w:r>
              <w:rPr>
                <w:rFonts w:hint="eastAsia" w:ascii="宋体" w:hAnsi="宋体" w:eastAsia="宋体" w:cs="宋体"/>
                <w:sz w:val="18"/>
                <w:szCs w:val="18"/>
                <w:lang w:val="en-US" w:eastAsia="zh-CN"/>
              </w:rPr>
              <w:t>臭氧消毒</w:t>
            </w:r>
            <w:r>
              <w:rPr>
                <w:rFonts w:hint="eastAsia" w:ascii="宋体" w:hAnsi="宋体" w:cs="宋体"/>
                <w:sz w:val="18"/>
                <w:szCs w:val="18"/>
                <w:lang w:val="en-US" w:eastAsia="zh-CN"/>
              </w:rPr>
              <w:t>功能，</w:t>
            </w:r>
            <w:r>
              <w:rPr>
                <w:rFonts w:hint="eastAsia" w:ascii="宋体" w:hAnsi="宋体" w:eastAsia="宋体" w:cs="宋体"/>
                <w:sz w:val="18"/>
                <w:szCs w:val="18"/>
                <w:lang w:val="en-US" w:eastAsia="zh-CN"/>
              </w:rPr>
              <w:t>臭氧消毒杀菌功能提高设备的使用频率，不需人工杀菌，节约治疗结束后手动杀菌时间，避免皮肤病交叉感染。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noWrap w:val="0"/>
            <w:vAlign w:val="center"/>
          </w:tcPr>
          <w:p>
            <w:pPr>
              <w:bidi w:val="0"/>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9</w:t>
            </w:r>
          </w:p>
        </w:tc>
        <w:tc>
          <w:tcPr>
            <w:tcW w:w="1705" w:type="dxa"/>
            <w:noWrap w:val="0"/>
            <w:vAlign w:val="center"/>
          </w:tcPr>
          <w:p>
            <w:pPr>
              <w:rPr>
                <w:rFonts w:hint="default" w:ascii="宋体" w:hAnsi="宋体" w:eastAsia="宋体" w:cs="宋体"/>
                <w:sz w:val="18"/>
                <w:szCs w:val="18"/>
                <w:lang w:val="en-US" w:eastAsia="zh-CN"/>
              </w:rPr>
            </w:pPr>
            <w:r>
              <w:rPr>
                <w:rFonts w:hint="eastAsia" w:ascii="宋体" w:hAnsi="宋体" w:cs="宋体"/>
                <w:sz w:val="18"/>
                <w:szCs w:val="18"/>
                <w:lang w:val="en-US" w:eastAsia="zh-CN"/>
              </w:rPr>
              <w:t>清洗功能</w:t>
            </w:r>
          </w:p>
        </w:tc>
        <w:tc>
          <w:tcPr>
            <w:tcW w:w="7159" w:type="dxa"/>
            <w:noWrap w:val="0"/>
            <w:vAlign w:val="center"/>
          </w:tcPr>
          <w:p>
            <w:pPr>
              <w:rPr>
                <w:rFonts w:hint="eastAsia" w:ascii="宋体" w:hAnsi="宋体" w:eastAsia="宋体" w:cs="宋体"/>
                <w:sz w:val="18"/>
                <w:szCs w:val="18"/>
                <w:lang w:val="en-US" w:eastAsia="zh-CN"/>
              </w:rPr>
            </w:pPr>
            <w:r>
              <w:rPr>
                <w:rFonts w:hint="eastAsia" w:ascii="宋体" w:hAnsi="宋体" w:cs="宋体"/>
                <w:sz w:val="18"/>
                <w:szCs w:val="18"/>
                <w:lang w:val="en-US" w:eastAsia="zh-CN"/>
              </w:rPr>
              <w:t>具备</w:t>
            </w:r>
            <w:r>
              <w:rPr>
                <w:rFonts w:hint="eastAsia" w:ascii="宋体" w:hAnsi="宋体" w:eastAsia="宋体" w:cs="宋体"/>
                <w:sz w:val="18"/>
                <w:szCs w:val="18"/>
                <w:lang w:val="en-US" w:eastAsia="zh-CN"/>
              </w:rPr>
              <w:t>喷淋功能</w:t>
            </w:r>
            <w:r>
              <w:rPr>
                <w:rFonts w:hint="eastAsia" w:ascii="宋体" w:hAnsi="宋体" w:cs="宋体"/>
                <w:sz w:val="18"/>
                <w:szCs w:val="18"/>
                <w:lang w:val="en-US" w:eastAsia="zh-CN"/>
              </w:rPr>
              <w:t>，</w:t>
            </w:r>
            <w:r>
              <w:rPr>
                <w:rFonts w:hint="eastAsia" w:ascii="宋体" w:hAnsi="宋体" w:eastAsia="宋体" w:cs="宋体"/>
                <w:sz w:val="18"/>
                <w:szCs w:val="18"/>
                <w:lang w:val="en-US" w:eastAsia="zh-CN"/>
              </w:rPr>
              <w:t>清洗污渍更加方便，解决清洗污渍不易繁琐等问题。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noWrap w:val="0"/>
            <w:vAlign w:val="center"/>
          </w:tcPr>
          <w:p>
            <w:pPr>
              <w:bidi w:val="0"/>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w:t>
            </w:r>
          </w:p>
        </w:tc>
        <w:tc>
          <w:tcPr>
            <w:tcW w:w="1705" w:type="dxa"/>
            <w:noWrap w:val="0"/>
            <w:vAlign w:val="center"/>
          </w:tcPr>
          <w:p>
            <w:pPr>
              <w:rPr>
                <w:rFonts w:hint="default" w:ascii="宋体" w:hAnsi="宋体" w:eastAsia="宋体" w:cs="宋体"/>
                <w:sz w:val="18"/>
                <w:szCs w:val="18"/>
                <w:lang w:val="en-US" w:eastAsia="zh-CN"/>
              </w:rPr>
            </w:pPr>
            <w:r>
              <w:rPr>
                <w:rFonts w:hint="eastAsia" w:ascii="宋体" w:hAnsi="宋体" w:cs="宋体"/>
                <w:sz w:val="18"/>
                <w:szCs w:val="18"/>
                <w:lang w:val="en-US" w:eastAsia="zh-CN"/>
              </w:rPr>
              <w:t>进水控制</w:t>
            </w:r>
          </w:p>
        </w:tc>
        <w:tc>
          <w:tcPr>
            <w:tcW w:w="7159" w:type="dxa"/>
            <w:noWrap w:val="0"/>
            <w:vAlign w:val="center"/>
          </w:tcPr>
          <w:p>
            <w:pPr>
              <w:rPr>
                <w:rFonts w:hint="eastAsia" w:ascii="宋体" w:hAnsi="宋体" w:eastAsia="宋体" w:cs="宋体"/>
                <w:sz w:val="18"/>
                <w:szCs w:val="18"/>
                <w:lang w:val="en-US" w:eastAsia="zh-CN"/>
              </w:rPr>
            </w:pPr>
            <w:r>
              <w:rPr>
                <w:rFonts w:hint="eastAsia" w:ascii="宋体" w:hAnsi="宋体" w:cs="宋体"/>
                <w:sz w:val="18"/>
                <w:szCs w:val="18"/>
                <w:lang w:val="en-US" w:eastAsia="zh-CN"/>
              </w:rPr>
              <w:t>具备</w:t>
            </w:r>
            <w:r>
              <w:rPr>
                <w:rFonts w:hint="eastAsia" w:ascii="宋体" w:hAnsi="宋体" w:eastAsia="宋体" w:cs="宋体"/>
                <w:sz w:val="18"/>
                <w:szCs w:val="18"/>
                <w:lang w:val="en-US" w:eastAsia="zh-CN"/>
              </w:rPr>
              <w:t>自动进水</w:t>
            </w:r>
            <w:r>
              <w:rPr>
                <w:rFonts w:hint="eastAsia" w:ascii="宋体" w:hAnsi="宋体" w:cs="宋体"/>
                <w:sz w:val="18"/>
                <w:szCs w:val="18"/>
                <w:lang w:val="en-US" w:eastAsia="zh-CN"/>
              </w:rPr>
              <w:t>功能，</w:t>
            </w:r>
            <w:r>
              <w:rPr>
                <w:rFonts w:hint="eastAsia" w:ascii="宋体" w:hAnsi="宋体" w:eastAsia="宋体" w:cs="宋体"/>
                <w:sz w:val="18"/>
                <w:szCs w:val="18"/>
                <w:lang w:val="en-US" w:eastAsia="zh-CN"/>
              </w:rPr>
              <w:t xml:space="preserve">提升治疗过程中间加水的冷却等待时间，保证治疗过程中温度输出的稳定性。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noWrap w:val="0"/>
            <w:vAlign w:val="center"/>
          </w:tcPr>
          <w:p>
            <w:pPr>
              <w:bidi w:val="0"/>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11</w:t>
            </w:r>
          </w:p>
        </w:tc>
        <w:tc>
          <w:tcPr>
            <w:tcW w:w="1705" w:type="dxa"/>
            <w:noWrap w:val="0"/>
            <w:vAlign w:val="center"/>
          </w:tcPr>
          <w:p>
            <w:pPr>
              <w:rPr>
                <w:rFonts w:hint="default" w:ascii="宋体" w:hAnsi="宋体" w:eastAsia="宋体" w:cs="宋体"/>
                <w:sz w:val="18"/>
                <w:szCs w:val="18"/>
                <w:lang w:val="en-US" w:eastAsia="zh-CN"/>
              </w:rPr>
            </w:pPr>
            <w:r>
              <w:rPr>
                <w:rFonts w:hint="eastAsia" w:ascii="宋体" w:hAnsi="宋体" w:cs="宋体"/>
                <w:sz w:val="18"/>
                <w:szCs w:val="18"/>
                <w:lang w:val="en-US" w:eastAsia="zh-CN"/>
              </w:rPr>
              <w:t>加热控制</w:t>
            </w:r>
          </w:p>
        </w:tc>
        <w:tc>
          <w:tcPr>
            <w:tcW w:w="7159" w:type="dxa"/>
            <w:noWrap w:val="0"/>
            <w:vAlign w:val="center"/>
          </w:tcPr>
          <w:p>
            <w:pPr>
              <w:rPr>
                <w:rFonts w:hint="eastAsia" w:ascii="宋体" w:hAnsi="宋体" w:eastAsia="宋体" w:cs="宋体"/>
                <w:sz w:val="18"/>
                <w:szCs w:val="18"/>
                <w:lang w:val="en-US" w:eastAsia="zh-CN"/>
              </w:rPr>
            </w:pPr>
            <w:r>
              <w:rPr>
                <w:rFonts w:hint="eastAsia" w:ascii="宋体" w:hAnsi="宋体" w:cs="宋体"/>
                <w:sz w:val="18"/>
                <w:szCs w:val="18"/>
                <w:lang w:val="en-US" w:eastAsia="zh-CN"/>
              </w:rPr>
              <w:t>具备</w:t>
            </w:r>
            <w:r>
              <w:rPr>
                <w:rFonts w:hint="eastAsia" w:ascii="宋体" w:hAnsi="宋体" w:eastAsia="宋体" w:cs="宋体"/>
                <w:sz w:val="18"/>
                <w:szCs w:val="18"/>
                <w:lang w:val="en-US" w:eastAsia="zh-CN"/>
              </w:rPr>
              <w:t>预热功能</w:t>
            </w:r>
            <w:r>
              <w:rPr>
                <w:rFonts w:hint="eastAsia" w:ascii="宋体" w:hAnsi="宋体" w:cs="宋体"/>
                <w:sz w:val="18"/>
                <w:szCs w:val="18"/>
                <w:lang w:val="en-US" w:eastAsia="zh-CN"/>
              </w:rPr>
              <w:t>，</w:t>
            </w:r>
            <w:r>
              <w:rPr>
                <w:rFonts w:hint="eastAsia" w:ascii="宋体" w:hAnsi="宋体" w:eastAsia="宋体" w:cs="宋体"/>
                <w:sz w:val="18"/>
                <w:szCs w:val="18"/>
                <w:lang w:val="en-US" w:eastAsia="zh-CN"/>
              </w:rPr>
              <w:t>药液</w:t>
            </w:r>
            <w:r>
              <w:rPr>
                <w:rFonts w:hint="eastAsia" w:ascii="宋体" w:hAnsi="宋体" w:cs="宋体"/>
                <w:sz w:val="18"/>
                <w:szCs w:val="18"/>
                <w:lang w:val="en-US" w:eastAsia="zh-CN"/>
              </w:rPr>
              <w:t>能够</w:t>
            </w:r>
            <w:r>
              <w:rPr>
                <w:rFonts w:hint="eastAsia" w:ascii="宋体" w:hAnsi="宋体" w:eastAsia="宋体" w:cs="宋体"/>
                <w:sz w:val="18"/>
                <w:szCs w:val="18"/>
                <w:lang w:val="en-US" w:eastAsia="zh-CN"/>
              </w:rPr>
              <w:t>提前预热便于操作者随时进入使用状态，避免等待药液加热</w:t>
            </w:r>
            <w:r>
              <w:rPr>
                <w:rFonts w:hint="eastAsia" w:ascii="宋体" w:hAnsi="宋体" w:cs="宋体"/>
                <w:sz w:val="18"/>
                <w:szCs w:val="18"/>
                <w:lang w:val="en-US" w:eastAsia="zh-CN"/>
              </w:rPr>
              <w:t>，</w:t>
            </w:r>
            <w:r>
              <w:rPr>
                <w:rFonts w:hint="eastAsia" w:ascii="宋体" w:hAnsi="宋体" w:eastAsia="宋体" w:cs="宋体"/>
                <w:sz w:val="18"/>
                <w:szCs w:val="18"/>
                <w:lang w:val="en-US" w:eastAsia="zh-CN"/>
              </w:rPr>
              <w:t>影响治疗时间。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noWrap w:val="0"/>
            <w:vAlign w:val="center"/>
          </w:tcPr>
          <w:p>
            <w:pPr>
              <w:bidi w:val="0"/>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12</w:t>
            </w:r>
          </w:p>
        </w:tc>
        <w:tc>
          <w:tcPr>
            <w:tcW w:w="1705" w:type="dxa"/>
            <w:noWrap w:val="0"/>
            <w:vAlign w:val="center"/>
          </w:tcPr>
          <w:p>
            <w:pPr>
              <w:rPr>
                <w:rFonts w:hint="default" w:ascii="宋体" w:hAnsi="宋体" w:eastAsia="宋体" w:cs="宋体"/>
                <w:sz w:val="18"/>
                <w:szCs w:val="18"/>
                <w:lang w:val="en-US" w:eastAsia="zh-CN"/>
              </w:rPr>
            </w:pPr>
            <w:r>
              <w:rPr>
                <w:rFonts w:hint="eastAsia" w:ascii="宋体" w:hAnsi="宋体" w:cs="宋体"/>
                <w:sz w:val="18"/>
                <w:szCs w:val="18"/>
                <w:lang w:val="en-US" w:eastAsia="zh-CN"/>
              </w:rPr>
              <w:t>移动功能</w:t>
            </w:r>
          </w:p>
        </w:tc>
        <w:tc>
          <w:tcPr>
            <w:tcW w:w="7159" w:type="dxa"/>
            <w:noWrap w:val="0"/>
            <w:vAlign w:val="center"/>
          </w:tcPr>
          <w:p>
            <w:pPr>
              <w:rPr>
                <w:rFonts w:hint="eastAsia" w:ascii="宋体" w:hAnsi="宋体" w:eastAsia="宋体" w:cs="宋体"/>
                <w:sz w:val="18"/>
                <w:szCs w:val="18"/>
                <w:lang w:val="en-US" w:eastAsia="zh-CN"/>
              </w:rPr>
            </w:pPr>
            <w:r>
              <w:rPr>
                <w:rFonts w:hint="eastAsia" w:ascii="宋体" w:hAnsi="宋体" w:cs="宋体"/>
                <w:sz w:val="18"/>
                <w:szCs w:val="18"/>
                <w:lang w:val="en-US" w:eastAsia="zh-CN"/>
              </w:rPr>
              <w:t>具备</w:t>
            </w:r>
            <w:r>
              <w:rPr>
                <w:rFonts w:hint="eastAsia" w:ascii="宋体" w:hAnsi="宋体" w:eastAsia="宋体" w:cs="宋体"/>
                <w:sz w:val="18"/>
                <w:szCs w:val="18"/>
                <w:lang w:val="en-US" w:eastAsia="zh-CN"/>
              </w:rPr>
              <w:t>自锁定静音脚轮</w:t>
            </w:r>
            <w:r>
              <w:rPr>
                <w:rFonts w:hint="eastAsia" w:ascii="宋体" w:hAnsi="宋体" w:cs="宋体"/>
                <w:sz w:val="18"/>
                <w:szCs w:val="18"/>
                <w:lang w:val="en-US" w:eastAsia="zh-CN"/>
              </w:rPr>
              <w:t>，推</w:t>
            </w:r>
            <w:r>
              <w:rPr>
                <w:rFonts w:hint="eastAsia" w:ascii="宋体" w:hAnsi="宋体" w:eastAsia="宋体" w:cs="宋体"/>
                <w:sz w:val="18"/>
                <w:szCs w:val="18"/>
                <w:lang w:val="en-US" w:eastAsia="zh-CN"/>
              </w:rPr>
              <w:t>移</w:t>
            </w:r>
            <w:r>
              <w:rPr>
                <w:rFonts w:hint="eastAsia" w:ascii="宋体" w:hAnsi="宋体" w:cs="宋体"/>
                <w:sz w:val="18"/>
                <w:szCs w:val="18"/>
                <w:lang w:val="en-US" w:eastAsia="zh-CN"/>
              </w:rPr>
              <w:t>设备时安静轻松</w:t>
            </w:r>
            <w:r>
              <w:rPr>
                <w:rFonts w:hint="eastAsia" w:ascii="宋体" w:hAnsi="宋体" w:eastAsia="宋体" w:cs="宋体"/>
                <w:sz w:val="18"/>
                <w:szCs w:val="18"/>
                <w:lang w:val="en-US" w:eastAsia="zh-CN"/>
              </w:rPr>
              <w:t>便捷，</w:t>
            </w:r>
            <w:r>
              <w:rPr>
                <w:rFonts w:hint="eastAsia" w:ascii="宋体" w:hAnsi="宋体" w:cs="宋体"/>
                <w:sz w:val="18"/>
                <w:szCs w:val="18"/>
                <w:lang w:val="en-US" w:eastAsia="zh-CN"/>
              </w:rPr>
              <w:t>固定方便。</w:t>
            </w:r>
            <w:r>
              <w:rPr>
                <w:rFonts w:hint="eastAsia" w:ascii="宋体" w:hAnsi="宋体" w:eastAsia="宋体" w:cs="宋体"/>
                <w:sz w:val="18"/>
                <w:szCs w:val="18"/>
                <w:lang w:val="en-US" w:eastAsia="zh-CN"/>
              </w:rPr>
              <w:t>脚轮可承载</w:t>
            </w:r>
            <w:r>
              <w:rPr>
                <w:rFonts w:hint="default" w:ascii="Arial" w:hAnsi="Arial" w:eastAsia="宋体" w:cs="Arial"/>
                <w:sz w:val="18"/>
                <w:szCs w:val="18"/>
                <w:lang w:val="en-US" w:eastAsia="zh-CN"/>
              </w:rPr>
              <w:t>≥</w:t>
            </w:r>
            <w:r>
              <w:rPr>
                <w:rFonts w:hint="eastAsia" w:ascii="宋体" w:hAnsi="宋体" w:eastAsia="宋体" w:cs="宋体"/>
                <w:sz w:val="18"/>
                <w:szCs w:val="18"/>
                <w:lang w:val="en-US" w:eastAsia="zh-CN"/>
              </w:rPr>
              <w:t>150kg负荷重量。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noWrap w:val="0"/>
            <w:vAlign w:val="center"/>
          </w:tcPr>
          <w:p>
            <w:pPr>
              <w:bidi w:val="0"/>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13</w:t>
            </w:r>
          </w:p>
        </w:tc>
        <w:tc>
          <w:tcPr>
            <w:tcW w:w="1705" w:type="dxa"/>
            <w:noWrap w:val="0"/>
            <w:vAlign w:val="center"/>
          </w:tcPr>
          <w:p>
            <w:pPr>
              <w:rPr>
                <w:rFonts w:hint="default" w:ascii="宋体" w:hAnsi="宋体" w:eastAsia="宋体" w:cs="宋体"/>
                <w:sz w:val="18"/>
                <w:szCs w:val="18"/>
                <w:lang w:val="en-US" w:eastAsia="zh-CN"/>
              </w:rPr>
            </w:pPr>
            <w:r>
              <w:rPr>
                <w:rFonts w:hint="eastAsia" w:ascii="宋体" w:hAnsi="宋体" w:cs="宋体"/>
                <w:sz w:val="18"/>
                <w:szCs w:val="18"/>
                <w:lang w:val="en-US" w:eastAsia="zh-CN"/>
              </w:rPr>
              <w:t>辅助功能</w:t>
            </w:r>
          </w:p>
        </w:tc>
        <w:tc>
          <w:tcPr>
            <w:tcW w:w="7159" w:type="dxa"/>
            <w:noWrap w:val="0"/>
            <w:vAlign w:val="center"/>
          </w:tcPr>
          <w:p>
            <w:pPr>
              <w:rPr>
                <w:rFonts w:hint="eastAsia" w:ascii="宋体" w:hAnsi="宋体" w:eastAsia="宋体" w:cs="宋体"/>
                <w:sz w:val="18"/>
                <w:szCs w:val="18"/>
                <w:lang w:val="en-US" w:eastAsia="zh-CN"/>
              </w:rPr>
            </w:pPr>
            <w:r>
              <w:rPr>
                <w:rFonts w:hint="eastAsia" w:ascii="宋体" w:hAnsi="宋体" w:cs="宋体"/>
                <w:sz w:val="18"/>
                <w:szCs w:val="18"/>
                <w:lang w:val="en-US" w:eastAsia="zh-CN"/>
              </w:rPr>
              <w:t>1.具备</w:t>
            </w:r>
            <w:r>
              <w:rPr>
                <w:rFonts w:hint="eastAsia" w:ascii="宋体" w:hAnsi="宋体" w:eastAsia="宋体" w:cs="宋体"/>
                <w:sz w:val="18"/>
                <w:szCs w:val="18"/>
                <w:lang w:val="en-US" w:eastAsia="zh-CN"/>
              </w:rPr>
              <w:t>脚底穴位按压、按摩</w:t>
            </w:r>
            <w:r>
              <w:rPr>
                <w:rFonts w:hint="eastAsia" w:ascii="宋体" w:hAnsi="宋体" w:cs="宋体"/>
                <w:sz w:val="18"/>
                <w:szCs w:val="18"/>
                <w:lang w:val="en-US" w:eastAsia="zh-CN"/>
              </w:rPr>
              <w:t>功能，</w:t>
            </w:r>
            <w:r>
              <w:rPr>
                <w:rFonts w:hint="eastAsia" w:ascii="宋体" w:hAnsi="宋体" w:eastAsia="宋体" w:cs="宋体"/>
                <w:sz w:val="18"/>
                <w:szCs w:val="18"/>
                <w:lang w:val="en-US" w:eastAsia="zh-CN"/>
              </w:rPr>
              <w:t>在熏蒸的过程中，解决熏蒸过程劳累、困乏等情况，让</w:t>
            </w:r>
            <w:r>
              <w:rPr>
                <w:rFonts w:hint="eastAsia" w:ascii="宋体" w:hAnsi="宋体" w:cs="宋体"/>
                <w:sz w:val="18"/>
                <w:szCs w:val="18"/>
                <w:lang w:val="en-US" w:eastAsia="zh-CN"/>
              </w:rPr>
              <w:t>患者在</w:t>
            </w:r>
            <w:r>
              <w:rPr>
                <w:rFonts w:hint="eastAsia" w:ascii="宋体" w:hAnsi="宋体" w:eastAsia="宋体" w:cs="宋体"/>
                <w:sz w:val="18"/>
                <w:szCs w:val="18"/>
                <w:lang w:val="en-US" w:eastAsia="zh-CN"/>
              </w:rPr>
              <w:t>熏蒸过程体验感更加舒适。</w:t>
            </w:r>
          </w:p>
          <w:p>
            <w:pPr>
              <w:rPr>
                <w:rFonts w:hint="default" w:ascii="宋体" w:hAnsi="宋体" w:eastAsia="宋体" w:cs="宋体"/>
                <w:sz w:val="18"/>
                <w:szCs w:val="18"/>
                <w:lang w:val="en-US" w:eastAsia="zh-CN"/>
              </w:rPr>
            </w:pPr>
            <w:r>
              <w:rPr>
                <w:rFonts w:hint="eastAsia" w:ascii="宋体" w:hAnsi="宋体" w:cs="宋体"/>
                <w:sz w:val="18"/>
                <w:szCs w:val="18"/>
                <w:lang w:val="en-US" w:eastAsia="zh-CN"/>
              </w:rPr>
              <w:t>2.采用</w:t>
            </w:r>
            <w:r>
              <w:rPr>
                <w:rFonts w:hint="eastAsia" w:ascii="宋体" w:hAnsi="宋体" w:eastAsia="宋体" w:cs="宋体"/>
                <w:sz w:val="18"/>
                <w:szCs w:val="18"/>
                <w:lang w:val="en-US" w:eastAsia="zh-CN"/>
              </w:rPr>
              <w:t>手孔翻盖设计</w:t>
            </w:r>
            <w:r>
              <w:rPr>
                <w:rFonts w:hint="eastAsia" w:ascii="宋体" w:hAnsi="宋体" w:cs="宋体"/>
                <w:sz w:val="18"/>
                <w:szCs w:val="18"/>
                <w:lang w:val="en-US" w:eastAsia="zh-CN"/>
              </w:rPr>
              <w:t>，</w:t>
            </w:r>
            <w:r>
              <w:rPr>
                <w:rFonts w:hint="eastAsia" w:ascii="宋体" w:hAnsi="宋体" w:eastAsia="宋体" w:cs="宋体"/>
                <w:sz w:val="18"/>
                <w:szCs w:val="18"/>
                <w:lang w:val="en-US" w:eastAsia="zh-CN"/>
              </w:rPr>
              <w:t>舱体上盖设计有两个翻盖手孔，</w:t>
            </w:r>
            <w:r>
              <w:rPr>
                <w:rFonts w:hint="eastAsia" w:ascii="宋体" w:hAnsi="宋体" w:cs="宋体"/>
                <w:sz w:val="18"/>
                <w:szCs w:val="18"/>
                <w:lang w:val="en-US" w:eastAsia="zh-CN"/>
              </w:rPr>
              <w:t>患者在</w:t>
            </w:r>
            <w:r>
              <w:rPr>
                <w:rFonts w:hint="eastAsia" w:ascii="宋体" w:hAnsi="宋体" w:eastAsia="宋体" w:cs="宋体"/>
                <w:sz w:val="18"/>
                <w:szCs w:val="18"/>
                <w:lang w:val="en-US" w:eastAsia="zh-CN"/>
              </w:rPr>
              <w:t>熏蒸过程中双手可伸出</w:t>
            </w:r>
            <w:r>
              <w:rPr>
                <w:rFonts w:hint="eastAsia" w:ascii="宋体" w:hAnsi="宋体" w:cs="宋体"/>
                <w:sz w:val="18"/>
                <w:szCs w:val="18"/>
                <w:lang w:val="en-US" w:eastAsia="zh-CN"/>
              </w:rPr>
              <w:t>舱外</w:t>
            </w:r>
            <w:r>
              <w:rPr>
                <w:rFonts w:hint="eastAsia" w:ascii="宋体" w:hAnsi="宋体" w:eastAsia="宋体" w:cs="宋体"/>
                <w:sz w:val="18"/>
                <w:szCs w:val="18"/>
                <w:lang w:val="en-US" w:eastAsia="zh-CN"/>
              </w:rPr>
              <w:t>，解决熏蒸过程困乏</w:t>
            </w:r>
            <w:r>
              <w:rPr>
                <w:rFonts w:hint="eastAsia" w:ascii="宋体" w:hAnsi="宋体" w:cs="宋体"/>
                <w:sz w:val="18"/>
                <w:szCs w:val="18"/>
                <w:lang w:val="en-US" w:eastAsia="zh-CN"/>
              </w:rPr>
              <w:t>、不适、</w:t>
            </w:r>
            <w:r>
              <w:rPr>
                <w:rFonts w:hint="eastAsia" w:ascii="宋体" w:hAnsi="宋体" w:eastAsia="宋体" w:cs="宋体"/>
                <w:sz w:val="18"/>
                <w:szCs w:val="18"/>
                <w:lang w:val="en-US" w:eastAsia="zh-CN"/>
              </w:rPr>
              <w:t>不能接听电话等</w:t>
            </w:r>
            <w:r>
              <w:rPr>
                <w:rFonts w:hint="eastAsia" w:ascii="宋体" w:hAnsi="宋体" w:cs="宋体"/>
                <w:sz w:val="18"/>
                <w:szCs w:val="18"/>
                <w:lang w:val="en-US" w:eastAsia="zh-CN"/>
              </w:rPr>
              <w:t>紧急</w:t>
            </w:r>
            <w:r>
              <w:rPr>
                <w:rFonts w:hint="eastAsia" w:ascii="宋体" w:hAnsi="宋体" w:eastAsia="宋体" w:cs="宋体"/>
                <w:sz w:val="18"/>
                <w:szCs w:val="18"/>
                <w:lang w:val="en-US" w:eastAsia="zh-CN"/>
              </w:rPr>
              <w:t>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noWrap w:val="0"/>
            <w:vAlign w:val="center"/>
          </w:tcPr>
          <w:p>
            <w:pPr>
              <w:bidi w:val="0"/>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14</w:t>
            </w:r>
          </w:p>
        </w:tc>
        <w:tc>
          <w:tcPr>
            <w:tcW w:w="1705" w:type="dxa"/>
            <w:noWrap w:val="0"/>
            <w:vAlign w:val="center"/>
          </w:tcPr>
          <w:p>
            <w:pP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治疗温度</w:t>
            </w:r>
          </w:p>
        </w:tc>
        <w:tc>
          <w:tcPr>
            <w:tcW w:w="7159" w:type="dxa"/>
            <w:noWrap w:val="0"/>
            <w:vAlign w:val="center"/>
          </w:tcPr>
          <w:p>
            <w:pP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 xml:space="preserve">30℃～45℃ </w:t>
            </w:r>
            <w:r>
              <w:rPr>
                <w:rFonts w:hint="eastAsia" w:ascii="宋体" w:hAnsi="宋体" w:cs="宋体"/>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noWrap w:val="0"/>
            <w:vAlign w:val="center"/>
          </w:tcPr>
          <w:p>
            <w:pPr>
              <w:bidi w:val="0"/>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15</w:t>
            </w:r>
          </w:p>
        </w:tc>
        <w:tc>
          <w:tcPr>
            <w:tcW w:w="1705" w:type="dxa"/>
            <w:noWrap w:val="0"/>
            <w:vAlign w:val="center"/>
          </w:tcPr>
          <w:p>
            <w:pP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电源条件</w:t>
            </w:r>
          </w:p>
        </w:tc>
        <w:tc>
          <w:tcPr>
            <w:tcW w:w="7159" w:type="dxa"/>
            <w:noWrap w:val="0"/>
            <w:vAlign w:val="center"/>
          </w:tcPr>
          <w:p>
            <w:pP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～220V, 50Hz。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noWrap w:val="0"/>
            <w:vAlign w:val="center"/>
          </w:tcPr>
          <w:p>
            <w:pPr>
              <w:bidi w:val="0"/>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16</w:t>
            </w:r>
          </w:p>
        </w:tc>
        <w:tc>
          <w:tcPr>
            <w:tcW w:w="1705" w:type="dxa"/>
            <w:noWrap w:val="0"/>
            <w:vAlign w:val="center"/>
          </w:tcPr>
          <w:p>
            <w:pP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治疗时间</w:t>
            </w:r>
          </w:p>
        </w:tc>
        <w:tc>
          <w:tcPr>
            <w:tcW w:w="7159" w:type="dxa"/>
            <w:noWrap w:val="0"/>
            <w:vAlign w:val="center"/>
          </w:tcPr>
          <w:p>
            <w:pP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 xml:space="preserve"> 1-60min  </w:t>
            </w:r>
            <w:r>
              <w:rPr>
                <w:rFonts w:hint="eastAsia" w:ascii="宋体" w:hAnsi="宋体" w:cs="宋体"/>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805" w:type="dxa"/>
            <w:noWrap w:val="0"/>
            <w:vAlign w:val="center"/>
          </w:tcPr>
          <w:p>
            <w:pPr>
              <w:bidi w:val="0"/>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17</w:t>
            </w:r>
          </w:p>
        </w:tc>
        <w:tc>
          <w:tcPr>
            <w:tcW w:w="1705" w:type="dxa"/>
            <w:noWrap w:val="0"/>
            <w:vAlign w:val="center"/>
          </w:tcPr>
          <w:p>
            <w:pPr>
              <w:rPr>
                <w:rFonts w:hint="eastAsia" w:ascii="宋体" w:hAnsi="宋体" w:eastAsia="宋体" w:cs="宋体"/>
                <w:sz w:val="18"/>
                <w:szCs w:val="18"/>
                <w:lang w:eastAsia="zh-CN"/>
              </w:rPr>
            </w:pPr>
            <w:r>
              <w:rPr>
                <w:rFonts w:hint="eastAsia" w:ascii="宋体" w:hAnsi="宋体" w:eastAsia="宋体" w:cs="宋体"/>
                <w:sz w:val="18"/>
                <w:szCs w:val="18"/>
                <w:lang w:val="en-US" w:eastAsia="zh-CN"/>
              </w:rPr>
              <w:t>熏蒸汽量</w:t>
            </w:r>
          </w:p>
        </w:tc>
        <w:tc>
          <w:tcPr>
            <w:tcW w:w="7159" w:type="dxa"/>
            <w:noWrap w:val="0"/>
            <w:vAlign w:val="center"/>
          </w:tcPr>
          <w:p>
            <w:pP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≥750ml/h</w:t>
            </w:r>
            <w:r>
              <w:rPr>
                <w:rFonts w:hint="eastAsia" w:ascii="宋体" w:hAnsi="宋体" w:cs="宋体"/>
                <w:sz w:val="18"/>
                <w:szCs w:val="18"/>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05" w:type="dxa"/>
            <w:noWrap w:val="0"/>
            <w:vAlign w:val="center"/>
          </w:tcPr>
          <w:p>
            <w:pPr>
              <w:bidi w:val="0"/>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18</w:t>
            </w:r>
          </w:p>
        </w:tc>
        <w:tc>
          <w:tcPr>
            <w:tcW w:w="1705" w:type="dxa"/>
            <w:noWrap w:val="0"/>
            <w:vAlign w:val="center"/>
          </w:tcPr>
          <w:p>
            <w:pPr>
              <w:rPr>
                <w:rFonts w:hint="eastAsia" w:ascii="宋体" w:hAnsi="宋体" w:eastAsia="宋体" w:cs="宋体"/>
                <w:sz w:val="18"/>
                <w:szCs w:val="18"/>
                <w:lang w:val="en-US" w:eastAsia="zh-CN"/>
              </w:rPr>
            </w:pPr>
            <w:r>
              <w:rPr>
                <w:rFonts w:hint="eastAsia" w:ascii="宋体" w:hAnsi="宋体" w:cs="宋体"/>
                <w:sz w:val="18"/>
                <w:szCs w:val="18"/>
                <w:lang w:val="en-US" w:eastAsia="zh-CN"/>
              </w:rPr>
              <w:t>使用</w:t>
            </w:r>
            <w:r>
              <w:rPr>
                <w:rFonts w:hint="eastAsia" w:ascii="宋体" w:hAnsi="宋体" w:eastAsia="宋体" w:cs="宋体"/>
                <w:sz w:val="18"/>
                <w:szCs w:val="18"/>
                <w:lang w:val="en-US" w:eastAsia="zh-CN"/>
              </w:rPr>
              <w:t>环境温度</w:t>
            </w:r>
          </w:p>
        </w:tc>
        <w:tc>
          <w:tcPr>
            <w:tcW w:w="7159" w:type="dxa"/>
            <w:noWrap w:val="0"/>
            <w:vAlign w:val="center"/>
          </w:tcPr>
          <w:p>
            <w:pP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5℃～40℃</w:t>
            </w:r>
            <w:r>
              <w:rPr>
                <w:rFonts w:hint="eastAsia" w:ascii="宋体" w:hAnsi="宋体" w:cs="宋体"/>
                <w:sz w:val="18"/>
                <w:szCs w:val="18"/>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05" w:type="dxa"/>
            <w:noWrap w:val="0"/>
            <w:vAlign w:val="center"/>
          </w:tcPr>
          <w:p>
            <w:pPr>
              <w:bidi w:val="0"/>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19</w:t>
            </w:r>
          </w:p>
        </w:tc>
        <w:tc>
          <w:tcPr>
            <w:tcW w:w="1705" w:type="dxa"/>
            <w:noWrap w:val="0"/>
            <w:vAlign w:val="center"/>
          </w:tcPr>
          <w:p>
            <w:pPr>
              <w:rPr>
                <w:rFonts w:hint="eastAsia" w:ascii="宋体" w:hAnsi="宋体" w:eastAsia="宋体" w:cs="宋体"/>
                <w:sz w:val="18"/>
                <w:szCs w:val="18"/>
                <w:lang w:val="en-US" w:eastAsia="zh-CN"/>
              </w:rPr>
            </w:pPr>
            <w:r>
              <w:rPr>
                <w:rFonts w:hint="eastAsia" w:ascii="宋体" w:hAnsi="宋体" w:cs="宋体"/>
                <w:sz w:val="18"/>
                <w:szCs w:val="18"/>
                <w:lang w:val="en-US" w:eastAsia="zh-CN"/>
              </w:rPr>
              <w:t>使用环境</w:t>
            </w:r>
            <w:r>
              <w:rPr>
                <w:rFonts w:hint="eastAsia" w:ascii="宋体" w:hAnsi="宋体" w:eastAsia="宋体" w:cs="宋体"/>
                <w:sz w:val="18"/>
                <w:szCs w:val="18"/>
                <w:lang w:val="en-US" w:eastAsia="zh-CN"/>
              </w:rPr>
              <w:t>相对湿度</w:t>
            </w:r>
          </w:p>
        </w:tc>
        <w:tc>
          <w:tcPr>
            <w:tcW w:w="7159" w:type="dxa"/>
            <w:noWrap w:val="0"/>
            <w:vAlign w:val="center"/>
          </w:tcPr>
          <w:p>
            <w:pP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30%～80%</w:t>
            </w:r>
            <w:r>
              <w:rPr>
                <w:rFonts w:hint="eastAsia" w:ascii="宋体" w:hAnsi="宋体" w:cs="宋体"/>
                <w:sz w:val="18"/>
                <w:szCs w:val="18"/>
                <w:lang w:val="en-US" w:eastAsia="zh-CN"/>
              </w:rPr>
              <w:t xml:space="preserve"> 。</w:t>
            </w:r>
          </w:p>
        </w:tc>
      </w:tr>
    </w:tbl>
    <w:p/>
    <w:p/>
    <w:p/>
    <w:p/>
    <w:p/>
    <w:p/>
    <w:sectPr>
      <w:headerReference r:id="rId5" w:type="default"/>
      <w:footerReference r:id="rId6" w:type="default"/>
      <w:pgSz w:w="11906" w:h="16838"/>
      <w:pgMar w:top="1246" w:right="1286" w:bottom="1091" w:left="1620" w:header="851" w:footer="692" w:gutter="0"/>
      <w:pgNumType w:start="23"/>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方正正粗黑简体">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right" w:pos="9000"/>
        <w:tab w:val="clear" w:pos="8306"/>
      </w:tabs>
      <w:ind w:right="-334" w:rightChars="-159"/>
      <w:jc w:val="center"/>
    </w:pPr>
    <w:r>
      <w:fldChar w:fldCharType="begin"/>
    </w:r>
    <w:r>
      <w:instrText xml:space="preserve">PAGE   \* MERGEFORMAT</w:instrText>
    </w:r>
    <w:r>
      <w:fldChar w:fldCharType="separate"/>
    </w:r>
    <w:r>
      <w:rPr>
        <w:lang w:val="zh-CN"/>
      </w:rPr>
      <w:t>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69"/>
      <w:jc w:val="center"/>
      <w:rPr>
        <w:sz w:val="15"/>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right" w:pos="9000"/>
        <w:tab w:val="clear" w:pos="8306"/>
      </w:tabs>
      <w:ind w:right="-178" w:rightChars="-85"/>
      <w:jc w:val="right"/>
      <w:rPr>
        <w:rFonts w:ascii="宋体" w:hAnsi="宋体" w:eastAsia="微软雅黑"/>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right" w:pos="9000"/>
        <w:tab w:val="clear" w:pos="8306"/>
      </w:tabs>
      <w:ind w:right="-178" w:rightChars="-85"/>
      <w:jc w:val="right"/>
      <w:rPr>
        <w:rFonts w:ascii="宋体" w:hAnsi="宋体" w:eastAsia="微软雅黑"/>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734980"/>
    <w:multiLevelType w:val="multilevel"/>
    <w:tmpl w:val="3C734980"/>
    <w:lvl w:ilvl="0" w:tentative="0">
      <w:start w:val="2"/>
      <w:numFmt w:val="japaneseCounting"/>
      <w:lvlText w:val="%1、"/>
      <w:lvlJc w:val="left"/>
      <w:pPr>
        <w:ind w:left="504" w:hanging="504"/>
      </w:pPr>
      <w:rPr>
        <w:rFonts w:hint="default"/>
      </w:rPr>
    </w:lvl>
    <w:lvl w:ilvl="1" w:tentative="0">
      <w:start w:val="5"/>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mNzk2OTM0MzYwNTUzOTA5OTQ0MjBlMjRiODg1MWQifQ=="/>
  </w:docVars>
  <w:rsids>
    <w:rsidRoot w:val="00000000"/>
    <w:rsid w:val="04A85E18"/>
    <w:rsid w:val="42675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Cambria" w:hAnsi="Cambria"/>
      <w:b/>
      <w:bCs/>
      <w:sz w:val="32"/>
      <w:szCs w:val="32"/>
    </w:rPr>
  </w:style>
  <w:style w:type="paragraph" w:styleId="3">
    <w:name w:val="Plain Text"/>
    <w:basedOn w:val="1"/>
    <w:qFormat/>
    <w:uiPriority w:val="0"/>
    <w:rPr>
      <w:rFonts w:ascii="宋体" w:hAnsi="Courier New"/>
      <w:szCs w:val="22"/>
    </w:rPr>
  </w:style>
  <w:style w:type="paragraph" w:styleId="4">
    <w:name w:val="footer"/>
    <w:basedOn w:val="1"/>
    <w:unhideWhenUsed/>
    <w:qFormat/>
    <w:uiPriority w:val="0"/>
    <w:pPr>
      <w:tabs>
        <w:tab w:val="center" w:pos="4153"/>
        <w:tab w:val="right" w:pos="8306"/>
      </w:tabs>
      <w:snapToGrid w:val="0"/>
      <w:jc w:val="left"/>
    </w:pPr>
    <w:rPr>
      <w:sz w:val="18"/>
      <w:szCs w:val="18"/>
    </w:rPr>
  </w:style>
  <w:style w:type="paragraph" w:styleId="5">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Subtitle"/>
    <w:basedOn w:val="1"/>
    <w:next w:val="1"/>
    <w:link w:val="10"/>
    <w:qFormat/>
    <w:uiPriority w:val="0"/>
    <w:pPr>
      <w:spacing w:before="240" w:after="60" w:line="312" w:lineRule="auto"/>
      <w:jc w:val="center"/>
      <w:outlineLvl w:val="1"/>
    </w:pPr>
    <w:rPr>
      <w:rFonts w:ascii="Cambria" w:hAnsi="Cambria"/>
      <w:b/>
      <w:bCs/>
      <w:kern w:val="28"/>
      <w:sz w:val="32"/>
      <w:szCs w:val="32"/>
    </w:rPr>
  </w:style>
  <w:style w:type="paragraph" w:styleId="7">
    <w:name w:val="Normal (Web)"/>
    <w:basedOn w:val="1"/>
    <w:qFormat/>
    <w:uiPriority w:val="0"/>
    <w:pPr>
      <w:widowControl/>
      <w:spacing w:before="100" w:beforeAutospacing="1" w:after="100" w:afterAutospacing="1"/>
      <w:jc w:val="left"/>
    </w:pPr>
    <w:rPr>
      <w:rFonts w:ascii="宋体" w:hAnsi="宋体"/>
      <w:kern w:val="0"/>
      <w:sz w:val="24"/>
    </w:rPr>
  </w:style>
  <w:style w:type="character" w:customStyle="1" w:styleId="10">
    <w:name w:val="副标题 字符"/>
    <w:link w:val="6"/>
    <w:qFormat/>
    <w:uiPriority w:val="0"/>
    <w:rPr>
      <w:rFonts w:ascii="Cambria" w:hAnsi="Cambria"/>
      <w:b/>
      <w:bCs/>
      <w:kern w:val="28"/>
      <w:sz w:val="32"/>
      <w:szCs w:val="32"/>
    </w:rPr>
  </w:style>
  <w:style w:type="paragraph" w:styleId="11">
    <w:name w:val="List Paragraph"/>
    <w:basedOn w:val="1"/>
    <w:qFormat/>
    <w:uiPriority w:val="34"/>
    <w:pPr>
      <w:ind w:firstLine="420" w:firstLineChars="200"/>
    </w:pPr>
    <w:rPr>
      <w:sz w:val="28"/>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6413</Words>
  <Characters>6667</Characters>
  <Lines>0</Lines>
  <Paragraphs>0</Paragraphs>
  <TotalTime>0</TotalTime>
  <ScaleCrop>false</ScaleCrop>
  <LinksUpToDate>false</LinksUpToDate>
  <CharactersWithSpaces>6734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2023-07-19T07:15:00Z</dcterms:created>
  <dc:creator>Administrator</dc:creator>
  <cp:lastModifiedBy>shaoqi</cp:lastModifiedBy>
  <dcterms:modified xsi:type="dcterms:W3CDTF">2023-07-26T08:18:38Z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B8F330B77C854D3AA4D7BFEC986FADB4_12</vt:lpwstr>
  </property>
</Properties>
</file>