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0"/>
        <w:tabs>
          <w:tab w:val="left" w:pos="703"/>
        </w:tabs>
        <w:rPr>
          <w:rFonts w:hAnsi="宋体"/>
          <w:sz w:val="24"/>
          <w:szCs w:val="24"/>
        </w:rPr>
      </w:pPr>
    </w:p>
    <w:p>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pStyle w:val="3"/>
              <w:jc w:val="both"/>
              <w:rPr>
                <w:b w:val="0"/>
                <w:bCs w:val="0"/>
                <w:kern w:val="2"/>
                <w:sz w:val="24"/>
                <w:szCs w:val="24"/>
              </w:rPr>
            </w:pPr>
            <w:r>
              <w:rPr>
                <w:rFonts w:hint="eastAsia"/>
                <w:b w:val="0"/>
                <w:bCs w:val="0"/>
                <w:kern w:val="2"/>
                <w:sz w:val="24"/>
                <w:szCs w:val="24"/>
              </w:rPr>
              <w:t>黄石市中心医院配电室高低压设备预防性试验项目</w:t>
            </w:r>
          </w:p>
          <w:p>
            <w:pPr>
              <w:spacing w:before="120" w:after="120"/>
              <w:textAlignment w:val="center"/>
              <w:rPr>
                <w:sz w:val="24"/>
              </w:rPr>
            </w:pP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sz w:val="24"/>
              </w:rPr>
              <w:t>配电室高低压设备预防性试验</w:t>
            </w:r>
          </w:p>
        </w:tc>
      </w:tr>
    </w:tbl>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w:t>
            </w:r>
            <w:r>
              <w:rPr>
                <w:rFonts w:hint="eastAsia" w:ascii="宋体" w:hAnsi="宋体" w:cs="宋体"/>
                <w:sz w:val="28"/>
                <w:szCs w:val="36"/>
                <w:lang w:val="en-US" w:eastAsia="zh-CN"/>
              </w:rPr>
              <w:t>4</w:t>
            </w:r>
            <w:r>
              <w:rPr>
                <w:rFonts w:hint="eastAsia" w:ascii="宋体" w:hAnsi="宋体" w:cs="宋体"/>
                <w:sz w:val="28"/>
                <w:szCs w:val="36"/>
              </w:rPr>
              <w:t>月</w:t>
            </w:r>
          </w:p>
        </w:tc>
      </w:tr>
    </w:tbl>
    <w:p>
      <w:pPr>
        <w:pStyle w:val="36"/>
        <w:jc w:val="center"/>
        <w:rPr>
          <w:b/>
          <w:sz w:val="21"/>
          <w:szCs w:val="36"/>
        </w:rPr>
      </w:pPr>
    </w:p>
    <w:p>
      <w:pPr>
        <w:pStyle w:val="36"/>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r>
        <w:rPr>
          <w:rFonts w:hint="eastAsia"/>
        </w:rPr>
        <w:t xml:space="preserve">   </w:t>
      </w:r>
    </w:p>
    <w:p>
      <w:pPr>
        <w:pStyle w:val="3"/>
      </w:pPr>
      <w:bookmarkStart w:id="0" w:name="_Toc535814464"/>
      <w:bookmarkStart w:id="1" w:name="_Toc28925"/>
      <w:bookmarkStart w:id="2" w:name="_Toc535815709"/>
      <w:bookmarkStart w:id="3" w:name="_Toc120411791"/>
      <w:bookmarkStart w:id="4" w:name="_Toc136229088"/>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黄石市中心医院拟对</w:t>
      </w:r>
      <w:r>
        <w:rPr>
          <w:rFonts w:hint="eastAsia" w:ascii="宋体" w:hAnsi="宋体"/>
          <w:b/>
          <w:bCs/>
          <w:sz w:val="24"/>
        </w:rPr>
        <w:t>.</w:t>
      </w:r>
      <w:r>
        <w:rPr>
          <w:rFonts w:hint="eastAsia" w:ascii="宋体" w:hAnsi="宋体"/>
          <w:sz w:val="24"/>
        </w:rPr>
        <w:t xml:space="preserve"> </w:t>
      </w:r>
      <w:r>
        <w:rPr>
          <w:rFonts w:hint="eastAsia"/>
          <w:sz w:val="24"/>
        </w:rPr>
        <w:t>黄石市中心医院配电室高低压设备预防性试验项目</w:t>
      </w:r>
      <w:r>
        <w:rPr>
          <w:rFonts w:hint="eastAsia" w:ascii="宋体" w:hAnsi="宋体"/>
          <w:sz w:val="24"/>
        </w:rPr>
        <w:t>进行竞争性谈判采购，欢迎符合资格条件的潜在供应商参与谈判。</w:t>
      </w:r>
    </w:p>
    <w:p>
      <w:pPr>
        <w:widowControl/>
        <w:numPr>
          <w:ilvl w:val="0"/>
          <w:numId w:val="4"/>
        </w:numPr>
        <w:adjustRightInd w:val="0"/>
        <w:snapToGrid w:val="0"/>
        <w:spacing w:after="120" w:afterLines="50" w:line="500" w:lineRule="exact"/>
        <w:ind w:firstLine="482" w:firstLineChars="200"/>
        <w:jc w:val="left"/>
        <w:rPr>
          <w:rFonts w:ascii="宋体" w:hAnsi="宋体" w:cs="宋体"/>
          <w:b/>
          <w:kern w:val="0"/>
          <w:sz w:val="24"/>
        </w:rPr>
      </w:pPr>
      <w:bookmarkStart w:id="5" w:name="_Toc381602681"/>
      <w:r>
        <w:rPr>
          <w:rFonts w:hint="eastAsia" w:ascii="宋体" w:hAnsi="宋体" w:cs="宋体"/>
          <w:b/>
          <w:kern w:val="0"/>
          <w:sz w:val="24"/>
        </w:rPr>
        <w:t>项目概况</w:t>
      </w:r>
      <w:bookmarkEnd w:id="5"/>
      <w:r>
        <w:rPr>
          <w:rFonts w:hint="eastAsia" w:ascii="宋体" w:hAnsi="宋体" w:cs="宋体"/>
          <w:b/>
          <w:kern w:val="0"/>
          <w:sz w:val="24"/>
        </w:rPr>
        <w:t>：</w:t>
      </w:r>
    </w:p>
    <w:p>
      <w:pPr>
        <w:widowControl/>
        <w:numPr>
          <w:ilvl w:val="0"/>
          <w:numId w:val="5"/>
        </w:numPr>
        <w:spacing w:line="360" w:lineRule="auto"/>
        <w:ind w:firstLine="480"/>
        <w:jc w:val="left"/>
        <w:rPr>
          <w:sz w:val="24"/>
        </w:rPr>
      </w:pPr>
      <w:r>
        <w:rPr>
          <w:rFonts w:hint="eastAsia" w:ascii="宋体" w:hAnsi="宋体" w:cs="宋体"/>
          <w:kern w:val="0"/>
          <w:sz w:val="24"/>
        </w:rPr>
        <w:t>项目名</w:t>
      </w:r>
      <w:r>
        <w:rPr>
          <w:rFonts w:hint="eastAsia" w:ascii="宋体" w:hAnsi="宋体" w:cs="宋体"/>
          <w:sz w:val="24"/>
        </w:rPr>
        <w:t>称：</w:t>
      </w:r>
      <w:r>
        <w:rPr>
          <w:rFonts w:hint="eastAsia"/>
          <w:sz w:val="24"/>
        </w:rPr>
        <w:t>黄石市中心医院配电室高低压设备预防性试验项目</w:t>
      </w:r>
    </w:p>
    <w:p>
      <w:pPr>
        <w:widowControl/>
        <w:spacing w:line="360" w:lineRule="auto"/>
        <w:ind w:firstLine="480" w:firstLineChars="200"/>
        <w:jc w:val="left"/>
        <w:rPr>
          <w:rFonts w:ascii="宋体" w:hAnsi="宋体" w:cs="宋体"/>
          <w:kern w:val="0"/>
          <w:sz w:val="24"/>
          <w:u w:val="single"/>
          <w:lang w:bidi="ar"/>
        </w:rPr>
      </w:pPr>
      <w:r>
        <w:rPr>
          <w:rFonts w:hint="eastAsia" w:ascii="宋体" w:hAnsi="宋体" w:cs="宋体"/>
          <w:kern w:val="0"/>
          <w:sz w:val="24"/>
        </w:rPr>
        <w:t>（二）采购预算：</w:t>
      </w:r>
      <w:r>
        <w:rPr>
          <w:rFonts w:hint="eastAsia" w:ascii="宋体" w:hAnsi="宋体" w:cs="Helvetica"/>
          <w:color w:val="333333"/>
          <w:sz w:val="28"/>
          <w:szCs w:val="28"/>
          <w:shd w:val="clear" w:color="auto" w:fill="FFFFFF"/>
        </w:rPr>
        <w:t>8万元</w:t>
      </w:r>
    </w:p>
    <w:p>
      <w:pPr>
        <w:pStyle w:val="2"/>
        <w:rPr>
          <w:rFonts w:ascii="宋体" w:hAnsi="宋体"/>
          <w:b/>
          <w:snapToGrid w:val="0"/>
          <w:kern w:val="0"/>
        </w:rPr>
      </w:pPr>
      <w:r>
        <w:rPr>
          <w:rFonts w:hint="eastAsia"/>
        </w:rPr>
        <w:t xml:space="preserve">     </w:t>
      </w:r>
      <w:r>
        <w:rPr>
          <w:rFonts w:hint="eastAsia" w:ascii="宋体" w:hAnsi="宋体"/>
          <w:b/>
          <w:snapToGrid w:val="0"/>
          <w:kern w:val="0"/>
        </w:rPr>
        <w:t>二、供应商资格要求：</w:t>
      </w:r>
    </w:p>
    <w:p>
      <w:pPr>
        <w:widowControl/>
        <w:spacing w:line="360" w:lineRule="auto"/>
        <w:ind w:firstLine="480"/>
        <w:jc w:val="left"/>
        <w:rPr>
          <w:rFonts w:ascii="宋体" w:hAnsi="宋体" w:cs="宋体"/>
          <w:kern w:val="0"/>
          <w:sz w:val="24"/>
          <w:lang w:val="zh-CN"/>
        </w:rPr>
      </w:pPr>
      <w:r>
        <w:rPr>
          <w:rFonts w:hint="eastAsia" w:ascii="宋体" w:hAnsi="宋体" w:cs="宋体"/>
          <w:kern w:val="0"/>
          <w:sz w:val="24"/>
          <w:lang w:val="zh-CN"/>
        </w:rPr>
        <w:t>（一）供应商必须符合《政府采购法》第二十二条规定的条件；</w:t>
      </w:r>
    </w:p>
    <w:p>
      <w:pPr>
        <w:widowControl/>
        <w:spacing w:line="360" w:lineRule="auto"/>
        <w:ind w:firstLine="840"/>
        <w:jc w:val="left"/>
        <w:rPr>
          <w:rFonts w:ascii="宋体" w:hAnsi="宋体" w:cs="宋体"/>
          <w:kern w:val="0"/>
          <w:sz w:val="24"/>
          <w:lang w:val="zh-CN"/>
        </w:rPr>
      </w:pPr>
      <w:r>
        <w:rPr>
          <w:rFonts w:hint="eastAsia" w:ascii="宋体" w:hAnsi="宋体" w:cs="宋体"/>
          <w:kern w:val="0"/>
          <w:sz w:val="24"/>
          <w:lang w:val="zh-CN"/>
        </w:rPr>
        <w:t>1、具有独立承担民事责任的能力；</w:t>
      </w:r>
    </w:p>
    <w:p>
      <w:pPr>
        <w:widowControl/>
        <w:spacing w:line="360" w:lineRule="auto"/>
        <w:ind w:firstLine="840"/>
        <w:jc w:val="left"/>
        <w:rPr>
          <w:rFonts w:ascii="宋体" w:hAnsi="宋体" w:cs="宋体"/>
          <w:kern w:val="0"/>
          <w:sz w:val="24"/>
          <w:lang w:val="zh-CN"/>
        </w:rPr>
      </w:pPr>
      <w:r>
        <w:rPr>
          <w:rFonts w:hint="eastAsia" w:ascii="宋体" w:hAnsi="宋体" w:cs="宋体"/>
          <w:kern w:val="0"/>
          <w:sz w:val="24"/>
          <w:lang w:val="zh-CN"/>
        </w:rPr>
        <w:t>2、具有良好的商业信誉和健全的财务会计制度；</w:t>
      </w:r>
    </w:p>
    <w:p>
      <w:pPr>
        <w:widowControl/>
        <w:spacing w:line="360" w:lineRule="auto"/>
        <w:ind w:firstLine="840"/>
        <w:jc w:val="left"/>
        <w:rPr>
          <w:rFonts w:ascii="宋体" w:hAnsi="宋体" w:cs="宋体"/>
          <w:kern w:val="0"/>
          <w:sz w:val="24"/>
          <w:lang w:val="zh-CN"/>
        </w:rPr>
      </w:pPr>
      <w:r>
        <w:rPr>
          <w:rFonts w:hint="eastAsia" w:ascii="宋体" w:hAnsi="宋体" w:cs="宋体"/>
          <w:kern w:val="0"/>
          <w:sz w:val="24"/>
          <w:lang w:val="zh-CN"/>
        </w:rPr>
        <w:t>3、具有履行合同所必需的设备和专业技术能力（</w:t>
      </w:r>
      <w:r>
        <w:rPr>
          <w:rFonts w:hint="eastAsia" w:ascii="宋体" w:hAnsi="宋体" w:cs="宋体"/>
          <w:sz w:val="24"/>
        </w:rPr>
        <w:t>以营业执照的经营范围为准</w:t>
      </w:r>
      <w:r>
        <w:rPr>
          <w:rFonts w:hint="eastAsia" w:ascii="宋体" w:hAnsi="宋体" w:cs="宋体"/>
          <w:kern w:val="0"/>
          <w:sz w:val="24"/>
          <w:lang w:val="zh-CN"/>
        </w:rPr>
        <w:t>）；</w:t>
      </w:r>
    </w:p>
    <w:p>
      <w:pPr>
        <w:widowControl/>
        <w:spacing w:line="360" w:lineRule="auto"/>
        <w:ind w:firstLine="840"/>
        <w:jc w:val="left"/>
        <w:rPr>
          <w:rFonts w:ascii="宋体" w:hAnsi="宋体" w:cs="宋体"/>
          <w:kern w:val="0"/>
          <w:sz w:val="24"/>
          <w:lang w:val="zh-CN"/>
        </w:rPr>
      </w:pPr>
      <w:r>
        <w:rPr>
          <w:rFonts w:hint="eastAsia" w:ascii="宋体" w:hAnsi="宋体" w:cs="宋体"/>
          <w:kern w:val="0"/>
          <w:sz w:val="24"/>
          <w:lang w:val="zh-CN"/>
        </w:rPr>
        <w:t>4、具有依法缴纳税收和社会保障资金的良好记录；</w:t>
      </w:r>
    </w:p>
    <w:p>
      <w:pPr>
        <w:widowControl/>
        <w:spacing w:line="360" w:lineRule="auto"/>
        <w:ind w:firstLine="840"/>
        <w:jc w:val="left"/>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、参加政府采购活动前三年内，在经营活动中没有重大违法记录；</w:t>
      </w:r>
    </w:p>
    <w:p>
      <w:pPr>
        <w:widowControl/>
        <w:spacing w:line="360" w:lineRule="auto"/>
        <w:ind w:firstLine="840"/>
        <w:jc w:val="left"/>
        <w:rPr>
          <w:rFonts w:ascii="宋体" w:hAnsi="宋体" w:cs="宋体"/>
          <w:kern w:val="0"/>
          <w:sz w:val="24"/>
          <w:lang w:val="hr-HR"/>
        </w:rPr>
      </w:pPr>
      <w:r>
        <w:rPr>
          <w:rFonts w:hint="eastAsia" w:ascii="宋体" w:hAnsi="宋体" w:cs="宋体"/>
          <w:kern w:val="0"/>
          <w:sz w:val="24"/>
        </w:rPr>
        <w:t>6</w:t>
      </w:r>
      <w:r>
        <w:rPr>
          <w:rFonts w:hint="eastAsia" w:ascii="宋体" w:hAnsi="宋体" w:cs="宋体"/>
          <w:kern w:val="0"/>
          <w:sz w:val="24"/>
          <w:lang w:val="zh-CN"/>
        </w:rPr>
        <w:t>、法律、行政法规规定的其他条件；</w:t>
      </w:r>
    </w:p>
    <w:p>
      <w:pPr>
        <w:widowControl/>
        <w:spacing w:line="360" w:lineRule="auto"/>
        <w:ind w:firstLine="48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zh-CN"/>
        </w:rPr>
        <w:t>二</w:t>
      </w:r>
      <w:r>
        <w:rPr>
          <w:rFonts w:hint="eastAsia" w:ascii="宋体" w:hAnsi="宋体" w:cs="宋体"/>
          <w:kern w:val="0"/>
          <w:sz w:val="24"/>
        </w:rPr>
        <w:t>）</w:t>
      </w:r>
      <w:r>
        <w:rPr>
          <w:rFonts w:hint="eastAsia" w:ascii="宋体" w:hAnsi="宋体" w:cs="宋体"/>
          <w:kern w:val="0"/>
          <w:sz w:val="24"/>
          <w:lang w:val="zh-CN"/>
        </w:rPr>
        <w:t>各包特定资格要求</w:t>
      </w:r>
      <w:r>
        <w:rPr>
          <w:rFonts w:hint="eastAsia" w:ascii="宋体" w:hAnsi="宋体" w:cs="宋体"/>
          <w:kern w:val="0"/>
          <w:sz w:val="24"/>
        </w:rPr>
        <w:t>：</w:t>
      </w:r>
    </w:p>
    <w:p>
      <w:pPr>
        <w:widowControl/>
        <w:spacing w:line="360" w:lineRule="auto"/>
        <w:ind w:firstLine="840"/>
        <w:jc w:val="left"/>
        <w:rPr>
          <w:rFonts w:ascii="宋体" w:hAnsi="宋体" w:cs="宋体"/>
          <w:kern w:val="0"/>
          <w:sz w:val="24"/>
        </w:rPr>
      </w:pPr>
      <w:r>
        <w:rPr>
          <w:rFonts w:hint="eastAsia" w:ascii="宋体" w:hAnsi="宋体" w:cs="宋体"/>
          <w:kern w:val="0"/>
          <w:sz w:val="24"/>
        </w:rPr>
        <w:t>1、供应商须提供“信用中国”网站(www.creditchina.gov.cn)失信被执行人、重大税收违法案件当事人名单和“中国政府采购”网站（www.ccgp.gov.cn）政府采购严重违法失信行为记录名单中的查询截图（以谈判公告发出后查询结果为准）；</w:t>
      </w:r>
    </w:p>
    <w:p>
      <w:pPr>
        <w:widowControl/>
        <w:spacing w:line="360" w:lineRule="auto"/>
        <w:ind w:firstLine="840"/>
        <w:jc w:val="left"/>
        <w:rPr>
          <w:rFonts w:ascii="宋体" w:hAnsi="宋体" w:cs="宋体"/>
          <w:kern w:val="0"/>
          <w:sz w:val="24"/>
        </w:rPr>
      </w:pPr>
      <w:r>
        <w:rPr>
          <w:rFonts w:hint="eastAsia" w:ascii="宋体" w:hAnsi="宋体" w:cs="宋体"/>
          <w:kern w:val="0"/>
          <w:sz w:val="24"/>
        </w:rPr>
        <w:t>2、本项目不接受联合体投标，项目执行过程中不允许转包、分包。</w:t>
      </w:r>
    </w:p>
    <w:p>
      <w:pPr>
        <w:widowControl/>
        <w:spacing w:line="360" w:lineRule="auto"/>
        <w:ind w:firstLine="840"/>
        <w:jc w:val="left"/>
        <w:rPr>
          <w:rFonts w:ascii="宋体" w:hAnsi="宋体" w:cs="宋体"/>
          <w:color w:val="FF0000"/>
          <w:kern w:val="0"/>
          <w:sz w:val="24"/>
        </w:rPr>
      </w:pPr>
      <w:r>
        <w:rPr>
          <w:rFonts w:hint="eastAsia" w:ascii="宋体" w:hAnsi="宋体" w:cs="宋体"/>
          <w:kern w:val="0"/>
          <w:sz w:val="24"/>
        </w:rPr>
        <w:t>3</w:t>
      </w:r>
      <w:r>
        <w:rPr>
          <w:rFonts w:ascii="宋体" w:hAnsi="宋体" w:cs="宋体"/>
          <w:kern w:val="0"/>
          <w:sz w:val="24"/>
        </w:rPr>
        <w:t>、投标人必须具备取得四级及以上承装</w:t>
      </w:r>
      <w:r>
        <w:rPr>
          <w:rFonts w:hint="eastAsia" w:ascii="宋体" w:hAnsi="宋体" w:cs="宋体"/>
          <w:kern w:val="0"/>
          <w:sz w:val="24"/>
        </w:rPr>
        <w:t>（</w:t>
      </w:r>
      <w:r>
        <w:rPr>
          <w:rFonts w:ascii="宋体" w:hAnsi="宋体" w:cs="宋体"/>
          <w:kern w:val="0"/>
          <w:sz w:val="24"/>
        </w:rPr>
        <w:t>修</w:t>
      </w:r>
      <w:r>
        <w:rPr>
          <w:rFonts w:hint="eastAsia" w:ascii="宋体" w:hAnsi="宋体" w:cs="宋体"/>
          <w:kern w:val="0"/>
          <w:sz w:val="24"/>
        </w:rPr>
        <w:t>、</w:t>
      </w:r>
      <w:r>
        <w:rPr>
          <w:rFonts w:ascii="宋体" w:hAnsi="宋体" w:cs="宋体"/>
          <w:kern w:val="0"/>
          <w:sz w:val="24"/>
        </w:rPr>
        <w:t>试</w:t>
      </w:r>
      <w:r>
        <w:rPr>
          <w:rFonts w:hint="eastAsia" w:ascii="宋体" w:hAnsi="宋体" w:cs="宋体"/>
          <w:kern w:val="0"/>
          <w:sz w:val="24"/>
        </w:rPr>
        <w:t>）</w:t>
      </w:r>
      <w:r>
        <w:rPr>
          <w:rFonts w:ascii="宋体" w:hAnsi="宋体" w:cs="宋体"/>
          <w:kern w:val="0"/>
          <w:sz w:val="24"/>
        </w:rPr>
        <w:t>电力设施许可证</w:t>
      </w:r>
      <w:r>
        <w:rPr>
          <w:rFonts w:ascii="宋体" w:hAnsi="宋体" w:cs="宋体"/>
          <w:color w:val="FF0000"/>
          <w:kern w:val="0"/>
          <w:sz w:val="24"/>
        </w:rPr>
        <w:t>；</w:t>
      </w:r>
    </w:p>
    <w:p>
      <w:pPr>
        <w:widowControl/>
        <w:spacing w:line="360" w:lineRule="auto"/>
        <w:ind w:firstLine="840"/>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、具有行政主管部门颁发的安全生产许可证。</w:t>
      </w:r>
    </w:p>
    <w:p>
      <w:pPr>
        <w:widowControl/>
        <w:spacing w:line="360" w:lineRule="auto"/>
        <w:ind w:firstLine="840"/>
        <w:jc w:val="left"/>
        <w:rPr>
          <w:rFonts w:ascii="宋体" w:hAnsi="宋体" w:cs="宋体"/>
          <w:kern w:val="0"/>
          <w:sz w:val="24"/>
          <w:lang w:val="hr-HR"/>
        </w:rPr>
      </w:pPr>
      <w:r>
        <w:rPr>
          <w:rFonts w:hint="eastAsia" w:ascii="宋体" w:hAnsi="宋体" w:cs="宋体"/>
          <w:kern w:val="0"/>
          <w:sz w:val="24"/>
        </w:rPr>
        <w:t>5</w:t>
      </w:r>
      <w:r>
        <w:rPr>
          <w:rFonts w:ascii="宋体" w:hAnsi="宋体" w:cs="宋体"/>
          <w:kern w:val="0"/>
          <w:sz w:val="24"/>
        </w:rPr>
        <w:t>、项目负责人专业维保人员取得具备相应的高压电工证书或特种电工证书。</w:t>
      </w:r>
    </w:p>
    <w:p>
      <w:pPr>
        <w:widowControl/>
        <w:spacing w:line="360" w:lineRule="auto"/>
        <w:ind w:firstLine="480"/>
        <w:jc w:val="left"/>
        <w:rPr>
          <w:rFonts w:hint="eastAsia" w:ascii="宋体" w:hAnsi="宋体" w:cs="宋体"/>
          <w:kern w:val="0"/>
          <w:sz w:val="24"/>
          <w:lang w:val="hr-HR"/>
        </w:rPr>
      </w:pPr>
      <w:r>
        <w:rPr>
          <w:rFonts w:hint="eastAsia" w:ascii="宋体" w:hAnsi="宋体" w:cs="宋体"/>
          <w:kern w:val="0"/>
          <w:sz w:val="24"/>
          <w:lang w:val="hr-HR"/>
        </w:rPr>
        <w:t xml:space="preserve"> </w:t>
      </w:r>
      <w:r>
        <w:rPr>
          <w:rFonts w:ascii="宋体" w:hAnsi="宋体" w:cs="宋体"/>
          <w:kern w:val="0"/>
          <w:sz w:val="24"/>
          <w:lang w:val="hr-HR"/>
        </w:rPr>
        <w:t xml:space="preserve">  6</w:t>
      </w:r>
      <w:r>
        <w:rPr>
          <w:rFonts w:hint="eastAsia" w:ascii="宋体" w:hAnsi="宋体" w:cs="宋体"/>
          <w:kern w:val="0"/>
          <w:sz w:val="24"/>
          <w:lang w:val="hr-HR"/>
        </w:rPr>
        <w:t>、须在项目所在地供电部门备案。</w:t>
      </w:r>
    </w:p>
    <w:p>
      <w:pPr>
        <w:widowControl/>
        <w:spacing w:line="360" w:lineRule="auto"/>
        <w:ind w:firstLine="480"/>
        <w:jc w:val="left"/>
        <w:rPr>
          <w:rFonts w:ascii="宋体" w:hAnsi="宋体" w:cs="宋体"/>
          <w:kern w:val="0"/>
          <w:sz w:val="24"/>
          <w:lang w:val="hr-HR"/>
        </w:rPr>
      </w:pPr>
      <w:r>
        <w:rPr>
          <w:rFonts w:hint="eastAsia" w:ascii="宋体" w:hAnsi="宋体" w:cs="宋体"/>
          <w:kern w:val="0"/>
          <w:sz w:val="24"/>
          <w:lang w:val="hr-HR"/>
        </w:rPr>
        <w:t>（三）如国家法律法规对市场准入有要求的还应符合相关规定。</w:t>
      </w:r>
    </w:p>
    <w:p>
      <w:pPr>
        <w:widowControl/>
        <w:spacing w:line="360" w:lineRule="auto"/>
        <w:ind w:firstLine="480"/>
        <w:jc w:val="left"/>
        <w:rPr>
          <w:rFonts w:ascii="宋体" w:hAnsi="宋体" w:cs="宋体"/>
          <w:kern w:val="0"/>
          <w:sz w:val="24"/>
        </w:rPr>
      </w:pPr>
      <w:r>
        <w:rPr>
          <w:rFonts w:hint="eastAsia" w:ascii="宋体" w:hAnsi="宋体" w:cs="宋体"/>
          <w:kern w:val="0"/>
          <w:sz w:val="24"/>
          <w:lang w:val="hr-HR"/>
        </w:rPr>
        <w:t>以上资格要求为本次招标供应商应具备的基本条件，参加各包投标的供应商必须满足资格要求中的对应各包的所有条款，并按照相关规定递交资格证明文件</w:t>
      </w:r>
      <w:r>
        <w:rPr>
          <w:rFonts w:hint="eastAsia" w:ascii="宋体" w:hAnsi="宋体" w:cs="宋体"/>
          <w:kern w:val="0"/>
          <w:sz w:val="24"/>
        </w:rPr>
        <w:t>。</w:t>
      </w:r>
    </w:p>
    <w:p>
      <w:pPr>
        <w:adjustRightInd w:val="0"/>
        <w:snapToGrid w:val="0"/>
        <w:spacing w:before="120" w:beforeLines="50" w:after="120" w:afterLines="50" w:line="560" w:lineRule="exact"/>
        <w:ind w:left="465"/>
        <w:rPr>
          <w:rFonts w:ascii="宋体" w:hAnsi="宋体"/>
          <w:b/>
          <w:snapToGrid w:val="0"/>
          <w:kern w:val="0"/>
          <w:sz w:val="24"/>
        </w:rPr>
      </w:pPr>
      <w:r>
        <w:rPr>
          <w:rFonts w:hint="eastAsia" w:ascii="宋体" w:hAnsi="宋体"/>
          <w:b/>
          <w:sz w:val="24"/>
        </w:rPr>
        <w:t>三、</w:t>
      </w:r>
      <w:r>
        <w:rPr>
          <w:rFonts w:hint="eastAsia" w:ascii="宋体" w:hAnsi="宋体" w:cs="宋体"/>
          <w:b/>
          <w:sz w:val="24"/>
          <w:lang w:val="en-US" w:eastAsia="zh-CN"/>
        </w:rPr>
        <w:t>报名时间及地点</w:t>
      </w:r>
      <w:r>
        <w:rPr>
          <w:rFonts w:hint="eastAsia" w:ascii="宋体" w:hAnsi="宋体" w:cs="宋体"/>
          <w:b/>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（一）</w:t>
      </w:r>
      <w:r>
        <w:rPr>
          <w:rFonts w:hint="eastAsia" w:ascii="宋体" w:hAnsi="宋体" w:cs="宋体"/>
          <w:kern w:val="0"/>
          <w:sz w:val="24"/>
          <w:lang w:val="en-US" w:eastAsia="zh-CN"/>
        </w:rPr>
        <w:t>报名</w:t>
      </w:r>
      <w:r>
        <w:rPr>
          <w:rFonts w:hint="eastAsia" w:ascii="宋体" w:hAnsi="宋体" w:cs="宋体"/>
          <w:kern w:val="0"/>
          <w:sz w:val="24"/>
        </w:rPr>
        <w:t>时间：</w:t>
      </w:r>
      <w:r>
        <w:rPr>
          <w:rFonts w:hint="eastAsia" w:ascii="宋体" w:hAnsi="宋体" w:cs="宋体"/>
          <w:color w:val="FF0000"/>
          <w:kern w:val="0"/>
          <w:sz w:val="24"/>
          <w:u w:val="single"/>
        </w:rPr>
        <w:t>202</w:t>
      </w:r>
      <w:r>
        <w:rPr>
          <w:rFonts w:hint="eastAsia" w:ascii="宋体" w:hAnsi="宋体" w:cs="宋体"/>
          <w:color w:val="FF0000"/>
          <w:kern w:val="0"/>
          <w:sz w:val="24"/>
          <w:u w:val="single"/>
          <w:lang w:val="en-US" w:eastAsia="zh-CN"/>
        </w:rPr>
        <w:t>3</w:t>
      </w:r>
      <w:r>
        <w:rPr>
          <w:rFonts w:hint="eastAsia" w:ascii="宋体" w:hAnsi="宋体" w:cs="宋体"/>
          <w:color w:val="FF0000"/>
          <w:kern w:val="0"/>
          <w:sz w:val="24"/>
          <w:u w:val="single"/>
        </w:rPr>
        <w:t>-0</w:t>
      </w:r>
      <w:r>
        <w:rPr>
          <w:rFonts w:hint="eastAsia" w:ascii="宋体" w:hAnsi="宋体" w:cs="宋体"/>
          <w:color w:val="FF0000"/>
          <w:kern w:val="0"/>
          <w:sz w:val="24"/>
          <w:u w:val="single"/>
          <w:lang w:val="en-US" w:eastAsia="zh-CN"/>
        </w:rPr>
        <w:t>4</w:t>
      </w:r>
      <w:r>
        <w:rPr>
          <w:rFonts w:hint="eastAsia" w:ascii="宋体" w:hAnsi="宋体" w:cs="宋体"/>
          <w:color w:val="FF0000"/>
          <w:kern w:val="0"/>
          <w:sz w:val="24"/>
          <w:u w:val="single"/>
        </w:rPr>
        <w:t>-</w:t>
      </w:r>
      <w:r>
        <w:rPr>
          <w:rFonts w:hint="eastAsia" w:ascii="宋体" w:hAnsi="宋体" w:cs="宋体"/>
          <w:color w:val="FF0000"/>
          <w:kern w:val="0"/>
          <w:sz w:val="24"/>
          <w:u w:val="single"/>
          <w:lang w:val="en-US" w:eastAsia="zh-CN"/>
        </w:rPr>
        <w:t>25</w:t>
      </w:r>
      <w:r>
        <w:rPr>
          <w:rFonts w:hint="eastAsia" w:ascii="宋体" w:hAnsi="宋体" w:cs="宋体"/>
          <w:color w:val="FF0000"/>
          <w:kern w:val="0"/>
          <w:sz w:val="24"/>
        </w:rPr>
        <w:t>至</w:t>
      </w:r>
      <w:r>
        <w:rPr>
          <w:rFonts w:hint="eastAsia" w:ascii="宋体" w:hAnsi="宋体" w:cs="宋体"/>
          <w:color w:val="FF0000"/>
          <w:kern w:val="0"/>
          <w:sz w:val="24"/>
          <w:u w:val="single"/>
        </w:rPr>
        <w:t>202</w:t>
      </w:r>
      <w:r>
        <w:rPr>
          <w:rFonts w:hint="eastAsia" w:ascii="宋体" w:hAnsi="宋体" w:cs="宋体"/>
          <w:color w:val="FF0000"/>
          <w:kern w:val="0"/>
          <w:sz w:val="24"/>
          <w:u w:val="single"/>
          <w:lang w:val="en-US" w:eastAsia="zh-CN"/>
        </w:rPr>
        <w:t>3</w:t>
      </w:r>
      <w:r>
        <w:rPr>
          <w:rFonts w:hint="eastAsia" w:ascii="宋体" w:hAnsi="宋体" w:cs="宋体"/>
          <w:color w:val="FF0000"/>
          <w:kern w:val="0"/>
          <w:sz w:val="24"/>
          <w:u w:val="single"/>
        </w:rPr>
        <w:t>-</w:t>
      </w:r>
      <w:r>
        <w:rPr>
          <w:rFonts w:hint="eastAsia" w:ascii="宋体" w:hAnsi="宋体" w:cs="宋体"/>
          <w:color w:val="FF0000"/>
          <w:kern w:val="0"/>
          <w:sz w:val="24"/>
          <w:u w:val="single"/>
          <w:lang w:val="en-US" w:eastAsia="zh-CN"/>
        </w:rPr>
        <w:t>05</w:t>
      </w:r>
      <w:r>
        <w:rPr>
          <w:rFonts w:hint="eastAsia" w:ascii="宋体" w:hAnsi="宋体" w:cs="宋体"/>
          <w:color w:val="FF0000"/>
          <w:kern w:val="0"/>
          <w:sz w:val="24"/>
          <w:u w:val="single"/>
        </w:rPr>
        <w:t>-</w:t>
      </w:r>
      <w:r>
        <w:rPr>
          <w:rFonts w:hint="eastAsia" w:ascii="宋体" w:hAnsi="宋体" w:cs="宋体"/>
          <w:color w:val="FF0000"/>
          <w:kern w:val="0"/>
          <w:sz w:val="24"/>
          <w:u w:val="single"/>
          <w:lang w:val="en-US" w:eastAsia="zh-CN"/>
        </w:rPr>
        <w:t>05</w:t>
      </w:r>
      <w:r>
        <w:rPr>
          <w:rFonts w:hint="eastAsia" w:ascii="宋体" w:hAnsi="宋体" w:cs="宋体"/>
          <w:color w:val="FF0000"/>
          <w:kern w:val="0"/>
          <w:sz w:val="24"/>
        </w:rPr>
        <w:t>（北京时间)</w:t>
      </w:r>
      <w:r>
        <w:rPr>
          <w:rFonts w:hint="eastAsia" w:ascii="宋体" w:hAnsi="宋体" w:cs="宋体"/>
          <w:color w:val="FF0000"/>
          <w:kern w:val="0"/>
          <w:sz w:val="24"/>
          <w:lang w:val="en-US" w:eastAsia="zh-CN"/>
        </w:rPr>
        <w:t>工作日</w:t>
      </w:r>
      <w:r>
        <w:rPr>
          <w:rFonts w:hint="eastAsia" w:ascii="宋体" w:hAnsi="宋体" w:cs="宋体"/>
          <w:color w:val="FF0000"/>
          <w:kern w:val="0"/>
          <w:sz w:val="24"/>
        </w:rPr>
        <w:t>上午09:00～12:00、下午14:00～17:00，</w:t>
      </w:r>
      <w:r>
        <w:rPr>
          <w:rFonts w:hint="eastAsia" w:ascii="宋体" w:hAnsi="宋体" w:cs="宋体"/>
          <w:color w:val="FF0000"/>
          <w:kern w:val="0"/>
          <w:sz w:val="24"/>
          <w:lang w:val="hr-HR"/>
        </w:rPr>
        <w:t>（节假日除外）</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（二）</w:t>
      </w:r>
      <w:r>
        <w:rPr>
          <w:rFonts w:hint="eastAsia" w:ascii="宋体" w:hAnsi="宋体" w:cs="宋体"/>
          <w:kern w:val="0"/>
          <w:sz w:val="24"/>
          <w:lang w:val="en-US" w:eastAsia="zh-CN"/>
        </w:rPr>
        <w:t>报名</w:t>
      </w:r>
      <w:r>
        <w:rPr>
          <w:rFonts w:hint="eastAsia" w:ascii="宋体" w:hAnsi="宋体" w:cs="宋体"/>
          <w:kern w:val="0"/>
          <w:sz w:val="24"/>
        </w:rPr>
        <w:t>地点：黄石市天津路141号黄石市中心医院8号楼819室。</w:t>
      </w:r>
    </w:p>
    <w:p>
      <w:pPr>
        <w:widowControl/>
        <w:spacing w:line="360" w:lineRule="auto"/>
        <w:ind w:firstLine="480"/>
        <w:jc w:val="left"/>
        <w:rPr>
          <w:rFonts w:ascii="宋体" w:hAnsi="宋体" w:cs="宋体"/>
          <w:kern w:val="0"/>
          <w:sz w:val="24"/>
        </w:rPr>
      </w:pPr>
      <w:r>
        <w:rPr>
          <w:rFonts w:hint="eastAsia" w:ascii="宋体" w:hAnsi="宋体" w:cs="宋体"/>
          <w:kern w:val="0"/>
          <w:sz w:val="24"/>
        </w:rPr>
        <w:t>（三）</w:t>
      </w:r>
      <w:r>
        <w:rPr>
          <w:rFonts w:hint="eastAsia" w:ascii="宋体" w:hAnsi="宋体" w:cs="宋体"/>
          <w:kern w:val="0"/>
          <w:sz w:val="24"/>
          <w:lang w:val="en-US" w:eastAsia="zh-CN"/>
        </w:rPr>
        <w:t>报名</w:t>
      </w:r>
      <w:r>
        <w:rPr>
          <w:rFonts w:hint="eastAsia" w:ascii="宋体" w:hAnsi="宋体" w:cs="宋体"/>
          <w:kern w:val="0"/>
          <w:sz w:val="24"/>
        </w:rPr>
        <w:t>方式：符合资格的供应商应当在获取时间内，携带以下资格证明材料领取谈判文件：</w:t>
      </w:r>
    </w:p>
    <w:p>
      <w:pPr>
        <w:spacing w:line="360" w:lineRule="auto"/>
        <w:ind w:firstLine="480" w:firstLineChars="200"/>
        <w:rPr>
          <w:rFonts w:ascii="宋体" w:hAnsi="宋体"/>
          <w:sz w:val="24"/>
        </w:rPr>
      </w:pPr>
      <w:r>
        <w:rPr>
          <w:rFonts w:hint="eastAsia" w:ascii="宋体" w:hAnsi="宋体"/>
          <w:sz w:val="24"/>
        </w:rPr>
        <w:t>1.营业执照(三证合一)（复印件加盖公章）；</w:t>
      </w:r>
    </w:p>
    <w:p>
      <w:pPr>
        <w:spacing w:line="360" w:lineRule="auto"/>
        <w:ind w:firstLine="480" w:firstLineChars="200"/>
        <w:rPr>
          <w:rFonts w:ascii="宋体" w:hAnsi="宋体"/>
          <w:sz w:val="24"/>
        </w:rPr>
      </w:pPr>
      <w:r>
        <w:rPr>
          <w:rFonts w:hint="eastAsia" w:ascii="宋体" w:hAnsi="宋体"/>
          <w:sz w:val="24"/>
        </w:rPr>
        <w:t xml:space="preserve">2.法定代表人自己领取的，凭法定代表人身份证明书及法定代表人身份证原件领取。 </w:t>
      </w:r>
    </w:p>
    <w:p>
      <w:pPr>
        <w:spacing w:line="360" w:lineRule="auto"/>
        <w:ind w:firstLine="480" w:firstLineChars="200"/>
        <w:rPr>
          <w:rFonts w:ascii="宋体" w:hAnsi="宋体"/>
          <w:sz w:val="24"/>
        </w:rPr>
      </w:pPr>
      <w:r>
        <w:rPr>
          <w:rFonts w:hint="eastAsia" w:ascii="宋体" w:hAnsi="宋体"/>
          <w:sz w:val="24"/>
        </w:rPr>
        <w:t xml:space="preserve">3.法定代表人委托他人领取的，凭法定代表人授权书及受托人身份证原件领取。 </w:t>
      </w:r>
    </w:p>
    <w:p>
      <w:pPr>
        <w:spacing w:line="360" w:lineRule="auto"/>
        <w:ind w:firstLine="480" w:firstLineChars="200"/>
        <w:rPr>
          <w:rFonts w:ascii="宋体" w:hAnsi="宋体"/>
          <w:sz w:val="24"/>
        </w:rPr>
      </w:pPr>
      <w:r>
        <w:rPr>
          <w:rFonts w:hint="eastAsia" w:ascii="宋体" w:hAnsi="宋体"/>
          <w:sz w:val="24"/>
        </w:rPr>
        <w:t>4.参加政府采购活动前三年内，在经营活动中没有重大违法记录证明；</w:t>
      </w:r>
    </w:p>
    <w:p>
      <w:pPr>
        <w:spacing w:line="360" w:lineRule="auto"/>
        <w:ind w:firstLine="480" w:firstLineChars="200"/>
        <w:rPr>
          <w:rFonts w:ascii="宋体" w:hAnsi="宋体"/>
          <w:sz w:val="24"/>
        </w:rPr>
      </w:pPr>
      <w:r>
        <w:rPr>
          <w:rFonts w:hint="eastAsia" w:ascii="宋体" w:hAnsi="宋体"/>
          <w:sz w:val="24"/>
        </w:rPr>
        <w:t>5.提供“信用中国”网站(www.creditchina.gov.cn)失信被执行人、重大税收违法案件当事人名单和“中国政府采购”网站（www.ccgp.gov.cn）政府采购严重违法失信行为记录名单</w:t>
      </w:r>
      <w:r>
        <w:rPr>
          <w:rFonts w:hint="eastAsia" w:ascii="宋体" w:hAnsi="宋体" w:cs="宋体"/>
          <w:kern w:val="0"/>
          <w:sz w:val="24"/>
        </w:rPr>
        <w:t>中的查询截图（以公告发出后查询结果为准）</w:t>
      </w:r>
      <w:r>
        <w:rPr>
          <w:rFonts w:hint="eastAsia" w:ascii="宋体" w:hAnsi="宋体"/>
          <w:sz w:val="24"/>
        </w:rPr>
        <w:t>；</w:t>
      </w:r>
    </w:p>
    <w:p>
      <w:pPr>
        <w:widowControl/>
        <w:spacing w:line="360" w:lineRule="auto"/>
        <w:ind w:firstLine="480" w:firstLineChars="200"/>
        <w:jc w:val="left"/>
        <w:rPr>
          <w:sz w:val="24"/>
        </w:rPr>
      </w:pPr>
      <w:r>
        <w:rPr>
          <w:rFonts w:hint="eastAsia" w:ascii="宋体" w:hAnsi="宋体"/>
          <w:sz w:val="24"/>
        </w:rPr>
        <w:t>6.</w:t>
      </w:r>
      <w:r>
        <w:rPr>
          <w:rFonts w:hint="eastAsia" w:ascii="宋体" w:hAnsi="宋体" w:cs="宋体"/>
          <w:kern w:val="0"/>
          <w:sz w:val="24"/>
        </w:rPr>
        <w:t>近三个月纳税凭证、缴纳社保情况。</w:t>
      </w:r>
    </w:p>
    <w:p>
      <w:pPr>
        <w:widowControl/>
        <w:spacing w:line="360" w:lineRule="auto"/>
        <w:ind w:firstLine="480" w:firstLineChars="200"/>
        <w:jc w:val="left"/>
        <w:rPr>
          <w:rFonts w:ascii="宋体" w:hAnsi="宋体" w:cs="宋体"/>
          <w:kern w:val="0"/>
          <w:sz w:val="24"/>
        </w:rPr>
      </w:pPr>
      <w:r>
        <w:rPr>
          <w:rFonts w:hint="eastAsia" w:ascii="宋体" w:hAnsi="宋体"/>
          <w:sz w:val="24"/>
        </w:rPr>
        <w:t>7.</w:t>
      </w:r>
      <w:r>
        <w:rPr>
          <w:rFonts w:ascii="宋体" w:hAnsi="宋体" w:cs="宋体"/>
          <w:kern w:val="0"/>
          <w:sz w:val="24"/>
        </w:rPr>
        <w:t>投标人必须具备取得四级及以上承装、四级及以上承装修、四级及以上承装试电力设施许可证；</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w:t>
      </w:r>
      <w:r>
        <w:rPr>
          <w:rFonts w:ascii="宋体" w:hAnsi="宋体" w:cs="宋体"/>
          <w:kern w:val="0"/>
          <w:sz w:val="24"/>
        </w:rPr>
        <w:t>具有行政主管部门颁发的安全生产许可证。</w:t>
      </w:r>
    </w:p>
    <w:p>
      <w:pPr>
        <w:spacing w:line="360" w:lineRule="auto"/>
        <w:ind w:firstLine="480" w:firstLineChars="200"/>
        <w:rPr>
          <w:rFonts w:ascii="宋体" w:hAnsi="宋体"/>
          <w:sz w:val="24"/>
        </w:rPr>
      </w:pPr>
      <w:r>
        <w:rPr>
          <w:rFonts w:hint="eastAsia" w:ascii="宋体" w:hAnsi="宋体" w:cs="宋体"/>
          <w:kern w:val="0"/>
          <w:sz w:val="24"/>
        </w:rPr>
        <w:t>9.</w:t>
      </w:r>
      <w:r>
        <w:rPr>
          <w:rFonts w:ascii="宋体" w:hAnsi="宋体" w:cs="宋体"/>
          <w:kern w:val="0"/>
          <w:sz w:val="24"/>
        </w:rPr>
        <w:t>项目负责人专业维保人员取得具备相应的高压电工证书或特种电工证书</w:t>
      </w:r>
      <w:r>
        <w:rPr>
          <w:rFonts w:hint="eastAsia" w:ascii="宋体" w:hAnsi="宋体"/>
          <w:sz w:val="24"/>
        </w:rPr>
        <w:t>；</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2"/>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2"/>
        <w:ind w:firstLine="480" w:firstLineChars="200"/>
        <w:rPr>
          <w:rFonts w:ascii="宋体" w:hAnsi="宋体" w:cs="宋体"/>
          <w:kern w:val="0"/>
        </w:rPr>
      </w:pPr>
    </w:p>
    <w:p>
      <w:pPr>
        <w:pStyle w:val="2"/>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wordWrap w:val="0"/>
        <w:spacing w:line="360" w:lineRule="auto"/>
        <w:jc w:val="right"/>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年0</w:t>
      </w:r>
      <w:r>
        <w:rPr>
          <w:rFonts w:hint="eastAsia" w:ascii="宋体" w:hAnsi="宋体" w:cs="宋体"/>
          <w:kern w:val="0"/>
          <w:sz w:val="24"/>
          <w:lang w:val="en-US" w:eastAsia="zh-CN"/>
        </w:rPr>
        <w:t>4</w:t>
      </w:r>
      <w:r>
        <w:rPr>
          <w:rFonts w:hint="eastAsia" w:ascii="宋体" w:hAnsi="宋体" w:cs="宋体"/>
          <w:kern w:val="0"/>
          <w:sz w:val="24"/>
        </w:rPr>
        <w:t>月</w:t>
      </w:r>
      <w:bookmarkStart w:id="6" w:name="_Toc120411792"/>
      <w:bookmarkStart w:id="7" w:name="_Toc136229089"/>
      <w:r>
        <w:rPr>
          <w:rFonts w:hint="eastAsia" w:ascii="宋体" w:hAnsi="宋体" w:cs="宋体"/>
          <w:kern w:val="0"/>
          <w:sz w:val="24"/>
          <w:lang w:val="en-US" w:eastAsia="zh-CN"/>
        </w:rPr>
        <w:t>25</w:t>
      </w:r>
      <w:bookmarkStart w:id="74" w:name="_GoBack"/>
      <w:bookmarkEnd w:id="74"/>
      <w:r>
        <w:rPr>
          <w:rFonts w:hint="eastAsia" w:ascii="宋体" w:hAnsi="宋体" w:cs="宋体"/>
          <w:kern w:val="0"/>
          <w:sz w:val="24"/>
        </w:rPr>
        <w:t>日</w:t>
      </w:r>
      <w:r>
        <w:br w:type="page"/>
      </w:r>
      <w:bookmarkStart w:id="8" w:name="_Toc10386"/>
      <w:r>
        <w:t>第二章  供应商须知</w:t>
      </w:r>
      <w:bookmarkEnd w:id="6"/>
      <w:bookmarkEnd w:id="7"/>
      <w:bookmarkEnd w:id="8"/>
    </w:p>
    <w:p>
      <w:pPr>
        <w:pStyle w:val="4"/>
      </w:pPr>
      <w:bookmarkStart w:id="9" w:name="_Toc8390"/>
      <w:r>
        <w:rPr>
          <w:rFonts w:hint="eastAsia"/>
        </w:rPr>
        <w:t>供应商须知前附表</w:t>
      </w:r>
      <w:bookmarkEnd w:id="9"/>
    </w:p>
    <w:p>
      <w:pPr>
        <w:pStyle w:val="2"/>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sz w:val="24"/>
              </w:rPr>
            </w:pPr>
            <w:r>
              <w:rPr>
                <w:rFonts w:hint="eastAsia"/>
                <w:sz w:val="24"/>
              </w:rPr>
              <w:t>黄石市中心医院配电室高低压设备预防性试验项目</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sz w:val="24"/>
              </w:rPr>
              <w:t>配电室高低压设备预防性试验项目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，电子版（响应文件正本盖章扫描U盘存储）一份。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67"/>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1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10" w:name="_Toc535832512"/>
      <w:r>
        <w:rPr>
          <w:rFonts w:hint="eastAsia"/>
        </w:rPr>
        <w:br w:type="page"/>
      </w:r>
      <w:bookmarkStart w:id="11" w:name="_Toc19775"/>
      <w:r>
        <w:rPr>
          <w:rFonts w:hint="eastAsia"/>
        </w:rPr>
        <w:t>供应商须知</w:t>
      </w:r>
      <w:bookmarkEnd w:id="11"/>
    </w:p>
    <w:bookmarkEnd w:id="10"/>
    <w:p>
      <w:pPr>
        <w:pStyle w:val="4"/>
      </w:pPr>
      <w:bookmarkStart w:id="12" w:name="_Toc13748"/>
      <w:bookmarkStart w:id="13" w:name="_Toc120411798"/>
      <w:bookmarkStart w:id="14" w:name="_Toc535832519"/>
      <w:r>
        <w:t>二、谈判文件</w:t>
      </w:r>
      <w:bookmarkEnd w:id="12"/>
      <w:bookmarkEnd w:id="13"/>
      <w:bookmarkEnd w:id="14"/>
    </w:p>
    <w:p>
      <w:pPr>
        <w:pStyle w:val="111"/>
        <w:tabs>
          <w:tab w:val="left" w:pos="1155"/>
          <w:tab w:val="clear" w:pos="425"/>
          <w:tab w:val="clear" w:pos="1134"/>
        </w:tabs>
        <w:spacing w:before="0" w:after="0"/>
        <w:ind w:left="1157" w:hanging="1157"/>
      </w:pPr>
      <w:bookmarkStart w:id="15" w:name="_Toc16768"/>
      <w:bookmarkStart w:id="16" w:name="_Toc120411799"/>
      <w:bookmarkStart w:id="17" w:name="_Toc535832520"/>
      <w:r>
        <w:t>谈判文件的构成</w:t>
      </w:r>
      <w:bookmarkEnd w:id="15"/>
      <w:bookmarkEnd w:id="16"/>
      <w:bookmarkEnd w:id="17"/>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6"/>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6"/>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6"/>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1"/>
        <w:tabs>
          <w:tab w:val="left" w:pos="1155"/>
          <w:tab w:val="clear" w:pos="425"/>
          <w:tab w:val="clear" w:pos="1134"/>
        </w:tabs>
        <w:spacing w:before="0" w:after="0"/>
        <w:ind w:left="1157" w:hanging="1157"/>
      </w:pPr>
      <w:bookmarkStart w:id="18" w:name="_Toc27507"/>
      <w:bookmarkStart w:id="19" w:name="_Toc120411801"/>
      <w:bookmarkStart w:id="20" w:name="_Toc535832522"/>
      <w:r>
        <w:rPr>
          <w:rFonts w:hint="eastAsia"/>
        </w:rPr>
        <w:t>谈判文件疑问的提交</w:t>
      </w:r>
      <w:bookmarkEnd w:id="18"/>
    </w:p>
    <w:p>
      <w:pPr>
        <w:numPr>
          <w:ilvl w:val="1"/>
          <w:numId w:val="2"/>
        </w:numPr>
        <w:tabs>
          <w:tab w:val="left" w:pos="1155"/>
          <w:tab w:val="left" w:pos="2247"/>
          <w:tab w:val="clear" w:pos="56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2"/>
        </w:numPr>
        <w:tabs>
          <w:tab w:val="left" w:pos="1155"/>
          <w:tab w:val="clear" w:pos="567"/>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1"/>
        <w:tabs>
          <w:tab w:val="left" w:pos="1155"/>
          <w:tab w:val="clear" w:pos="425"/>
          <w:tab w:val="clear" w:pos="1134"/>
        </w:tabs>
        <w:spacing w:before="0" w:after="0"/>
        <w:ind w:left="1157" w:hanging="1157"/>
      </w:pPr>
      <w:bookmarkStart w:id="21" w:name="_Toc30155"/>
      <w:r>
        <w:rPr>
          <w:rFonts w:hint="eastAsia"/>
        </w:rPr>
        <w:t>通知</w:t>
      </w:r>
      <w:bookmarkEnd w:id="21"/>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9"/>
    <w:bookmarkEnd w:id="20"/>
    <w:p>
      <w:pPr>
        <w:pStyle w:val="4"/>
      </w:pPr>
      <w:bookmarkStart w:id="22" w:name="_Toc535832523"/>
      <w:bookmarkStart w:id="23" w:name="_Toc120411802"/>
      <w:bookmarkStart w:id="24" w:name="_Toc5242"/>
      <w:r>
        <w:t>三、响应文件的编制</w:t>
      </w:r>
      <w:bookmarkEnd w:id="22"/>
      <w:bookmarkEnd w:id="23"/>
      <w:r>
        <w:rPr>
          <w:rFonts w:hint="eastAsia"/>
        </w:rPr>
        <w:t>、装订、</w:t>
      </w:r>
      <w:r>
        <w:t>密封和标记</w:t>
      </w:r>
      <w:bookmarkEnd w:id="24"/>
    </w:p>
    <w:p>
      <w:pPr>
        <w:pStyle w:val="111"/>
        <w:tabs>
          <w:tab w:val="left" w:pos="1155"/>
          <w:tab w:val="clear" w:pos="425"/>
          <w:tab w:val="clear" w:pos="1134"/>
        </w:tabs>
        <w:spacing w:before="0" w:after="0"/>
        <w:ind w:left="1157" w:hanging="1157"/>
      </w:pPr>
      <w:bookmarkStart w:id="25" w:name="_Toc10505"/>
      <w:bookmarkStart w:id="26" w:name="_Toc120411803"/>
      <w:bookmarkStart w:id="27" w:name="_Toc535832524"/>
      <w:r>
        <w:t>响应文件的语言及计量</w:t>
      </w:r>
      <w:bookmarkEnd w:id="25"/>
      <w:bookmarkEnd w:id="26"/>
      <w:bookmarkEnd w:id="27"/>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1"/>
        <w:tabs>
          <w:tab w:val="left" w:pos="1155"/>
          <w:tab w:val="clear" w:pos="425"/>
          <w:tab w:val="clear" w:pos="1134"/>
        </w:tabs>
        <w:spacing w:before="0" w:after="0"/>
        <w:ind w:left="1157" w:hanging="1157"/>
      </w:pPr>
      <w:bookmarkStart w:id="28" w:name="_Toc24505"/>
      <w:bookmarkStart w:id="29" w:name="_Toc535832525"/>
      <w:bookmarkStart w:id="30" w:name="_Toc120411804"/>
      <w:r>
        <w:t>响应文件的构成</w:t>
      </w:r>
      <w:bookmarkEnd w:id="28"/>
      <w:bookmarkEnd w:id="29"/>
      <w:bookmarkEnd w:id="30"/>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1"/>
        <w:tabs>
          <w:tab w:val="left" w:pos="1155"/>
          <w:tab w:val="clear" w:pos="425"/>
          <w:tab w:val="clear" w:pos="1134"/>
        </w:tabs>
        <w:spacing w:before="0" w:after="0"/>
        <w:ind w:left="1157" w:hanging="1157"/>
      </w:pPr>
      <w:bookmarkStart w:id="31" w:name="_Toc120411806"/>
      <w:bookmarkStart w:id="32" w:name="_Toc19459"/>
      <w:bookmarkStart w:id="33" w:name="_Toc535832527"/>
      <w:r>
        <w:rPr>
          <w:rFonts w:hint="eastAsia"/>
        </w:rPr>
        <w:t>谈判</w:t>
      </w:r>
      <w:r>
        <w:t>报价</w:t>
      </w:r>
      <w:bookmarkEnd w:id="31"/>
      <w:bookmarkEnd w:id="32"/>
      <w:bookmarkEnd w:id="33"/>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1"/>
        <w:tabs>
          <w:tab w:val="left" w:pos="1155"/>
          <w:tab w:val="clear" w:pos="425"/>
          <w:tab w:val="clear" w:pos="1134"/>
        </w:tabs>
        <w:spacing w:before="0" w:after="0"/>
        <w:ind w:left="1157" w:hanging="1157"/>
      </w:pPr>
      <w:bookmarkStart w:id="34" w:name="_Toc120411811"/>
      <w:bookmarkStart w:id="35" w:name="_Toc19911"/>
      <w:bookmarkStart w:id="36" w:name="_Toc535832532"/>
      <w:r>
        <w:t>谈判有效期</w:t>
      </w:r>
      <w:bookmarkEnd w:id="34"/>
      <w:bookmarkEnd w:id="35"/>
      <w:bookmarkEnd w:id="36"/>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1"/>
        <w:tabs>
          <w:tab w:val="left" w:pos="1155"/>
          <w:tab w:val="clear" w:pos="425"/>
          <w:tab w:val="clear" w:pos="1134"/>
        </w:tabs>
        <w:spacing w:before="0" w:after="0"/>
        <w:ind w:left="1157" w:hanging="1157"/>
      </w:pPr>
      <w:bookmarkStart w:id="37" w:name="_Toc109616875"/>
      <w:bookmarkStart w:id="38" w:name="_Toc121195753"/>
      <w:bookmarkStart w:id="39" w:name="_Toc47348161"/>
      <w:bookmarkStart w:id="40" w:name="_Toc11828"/>
      <w:bookmarkStart w:id="41" w:name="_Toc120411810"/>
      <w:bookmarkStart w:id="42" w:name="_Toc535832531"/>
      <w:r>
        <w:rPr>
          <w:rFonts w:hint="eastAsia"/>
        </w:rPr>
        <w:t>响应文件格式</w:t>
      </w:r>
      <w:bookmarkEnd w:id="37"/>
      <w:bookmarkEnd w:id="38"/>
      <w:bookmarkEnd w:id="39"/>
      <w:r>
        <w:rPr>
          <w:rFonts w:hint="eastAsia"/>
        </w:rPr>
        <w:t>和签署</w:t>
      </w:r>
      <w:bookmarkEnd w:id="40"/>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41"/>
    <w:bookmarkEnd w:id="42"/>
    <w:p>
      <w:pPr>
        <w:pStyle w:val="111"/>
        <w:tabs>
          <w:tab w:val="left" w:pos="1155"/>
          <w:tab w:val="clear" w:pos="425"/>
          <w:tab w:val="clear" w:pos="1134"/>
        </w:tabs>
        <w:spacing w:before="0" w:after="0"/>
        <w:ind w:left="1157" w:hanging="1157"/>
      </w:pPr>
      <w:bookmarkStart w:id="43" w:name="_Toc120411814"/>
      <w:bookmarkStart w:id="44" w:name="_Toc535832536"/>
      <w:bookmarkStart w:id="45" w:name="_Toc21612"/>
      <w:r>
        <w:t>响应文件的</w:t>
      </w:r>
      <w:bookmarkEnd w:id="43"/>
      <w:bookmarkEnd w:id="44"/>
      <w:r>
        <w:rPr>
          <w:rFonts w:hint="eastAsia"/>
        </w:rPr>
        <w:t>装订、密封和标记</w:t>
      </w:r>
      <w:bookmarkEnd w:id="45"/>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6" w:name="_Toc2604"/>
      <w:r>
        <w:rPr>
          <w:rFonts w:hint="eastAsia"/>
        </w:rPr>
        <w:t>四</w:t>
      </w:r>
      <w:r>
        <w:t>、</w:t>
      </w:r>
      <w:bookmarkStart w:id="47" w:name="_Toc535832541"/>
      <w:bookmarkStart w:id="48" w:name="_Toc120411819"/>
      <w:r>
        <w:rPr>
          <w:rFonts w:hint="eastAsia"/>
        </w:rPr>
        <w:t>谈判</w:t>
      </w:r>
      <w:bookmarkEnd w:id="46"/>
    </w:p>
    <w:bookmarkEnd w:id="47"/>
    <w:bookmarkEnd w:id="48"/>
    <w:p>
      <w:pPr>
        <w:pStyle w:val="111"/>
        <w:tabs>
          <w:tab w:val="left" w:pos="1155"/>
          <w:tab w:val="clear" w:pos="425"/>
          <w:tab w:val="clear" w:pos="1134"/>
        </w:tabs>
        <w:spacing w:before="0" w:after="0"/>
        <w:ind w:left="1157" w:hanging="1157"/>
      </w:pPr>
      <w:bookmarkStart w:id="49" w:name="_Toc17380"/>
      <w:r>
        <w:t>响应文件</w:t>
      </w:r>
      <w:r>
        <w:rPr>
          <w:rFonts w:hint="eastAsia"/>
        </w:rPr>
        <w:t>的提交</w:t>
      </w:r>
      <w:bookmarkEnd w:id="49"/>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1"/>
        <w:tabs>
          <w:tab w:val="left" w:pos="1155"/>
          <w:tab w:val="clear" w:pos="425"/>
          <w:tab w:val="clear" w:pos="1134"/>
        </w:tabs>
        <w:spacing w:before="0" w:after="0"/>
        <w:ind w:left="1157" w:hanging="1157"/>
      </w:pPr>
      <w:bookmarkStart w:id="50" w:name="_Toc18751"/>
      <w:bookmarkStart w:id="51" w:name="_Toc535832538"/>
      <w:bookmarkStart w:id="52" w:name="_Toc120411816"/>
      <w:r>
        <w:t>响应文件的</w:t>
      </w:r>
      <w:r>
        <w:rPr>
          <w:rFonts w:hint="eastAsia"/>
        </w:rPr>
        <w:t>拒收</w:t>
      </w:r>
      <w:bookmarkEnd w:id="50"/>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2"/>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2"/>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2"/>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1"/>
        <w:tabs>
          <w:tab w:val="left" w:pos="1155"/>
          <w:tab w:val="clear" w:pos="425"/>
          <w:tab w:val="clear" w:pos="1134"/>
        </w:tabs>
        <w:spacing w:before="0" w:after="0"/>
        <w:ind w:left="1157" w:hanging="1157"/>
      </w:pPr>
      <w:bookmarkStart w:id="53" w:name="_Toc5977"/>
      <w:r>
        <w:rPr>
          <w:rFonts w:hint="eastAsia"/>
        </w:rPr>
        <w:t>应文件的补充、修改或撤回</w:t>
      </w:r>
      <w:bookmarkEnd w:id="53"/>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51"/>
    <w:bookmarkEnd w:id="52"/>
    <w:p>
      <w:pPr>
        <w:pStyle w:val="111"/>
        <w:tabs>
          <w:tab w:val="left" w:pos="1155"/>
          <w:tab w:val="clear" w:pos="425"/>
          <w:tab w:val="clear" w:pos="1134"/>
        </w:tabs>
        <w:spacing w:before="0" w:after="0"/>
        <w:ind w:left="1157" w:hanging="1157"/>
      </w:pPr>
      <w:bookmarkStart w:id="54" w:name="_Toc29052"/>
      <w:r>
        <w:rPr>
          <w:rFonts w:hint="eastAsia"/>
        </w:rPr>
        <w:t>谈判时间和地点</w:t>
      </w:r>
      <w:bookmarkEnd w:id="54"/>
    </w:p>
    <w:p>
      <w:pPr>
        <w:numPr>
          <w:ilvl w:val="1"/>
          <w:numId w:val="2"/>
        </w:numPr>
        <w:tabs>
          <w:tab w:val="left" w:pos="1155"/>
          <w:tab w:val="clear" w:pos="567"/>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1"/>
        <w:tabs>
          <w:tab w:val="left" w:pos="1155"/>
          <w:tab w:val="clear" w:pos="425"/>
          <w:tab w:val="clear" w:pos="1134"/>
        </w:tabs>
        <w:spacing w:before="0" w:after="0"/>
        <w:ind w:left="1157" w:hanging="1157"/>
      </w:pPr>
      <w:bookmarkStart w:id="55" w:name="_Toc14581"/>
      <w:r>
        <w:t>谈判小组的组成和</w:t>
      </w:r>
      <w:r>
        <w:rPr>
          <w:rFonts w:hint="eastAsia"/>
        </w:rPr>
        <w:t>评审办法</w:t>
      </w:r>
      <w:bookmarkEnd w:id="55"/>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1"/>
        <w:tabs>
          <w:tab w:val="left" w:pos="1155"/>
          <w:tab w:val="clear" w:pos="425"/>
          <w:tab w:val="clear" w:pos="1134"/>
        </w:tabs>
        <w:spacing w:before="0" w:after="0"/>
        <w:ind w:left="1157" w:hanging="1157"/>
      </w:pPr>
      <w:bookmarkStart w:id="56" w:name="_Toc14159"/>
      <w:r>
        <w:rPr>
          <w:rFonts w:hint="eastAsia"/>
        </w:rPr>
        <w:t>谈判程序</w:t>
      </w:r>
      <w:bookmarkEnd w:id="56"/>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2"/>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2"/>
        </w:numPr>
        <w:tabs>
          <w:tab w:val="left" w:pos="1155"/>
          <w:tab w:val="clear" w:pos="567"/>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2"/>
        </w:numPr>
        <w:tabs>
          <w:tab w:val="left" w:pos="1155"/>
          <w:tab w:val="clear" w:pos="567"/>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2"/>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2"/>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2"/>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2"/>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2"/>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2"/>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2"/>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2"/>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2"/>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spacing w:line="560" w:lineRule="exact"/>
        <w:rPr>
          <w:rFonts w:ascii="宋体" w:hAnsi="宋体" w:cs="Arial"/>
          <w:color w:val="FF0000"/>
          <w:kern w:val="0"/>
          <w:sz w:val="24"/>
        </w:rPr>
      </w:pPr>
      <w:bookmarkStart w:id="57" w:name="_Toc535832554"/>
    </w:p>
    <w:bookmarkEnd w:id="57"/>
    <w:p>
      <w:pPr>
        <w:pStyle w:val="3"/>
      </w:pPr>
      <w:bookmarkStart w:id="58" w:name="_Toc136229090"/>
      <w:bookmarkStart w:id="59" w:name="_Toc535891855"/>
      <w:bookmarkStart w:id="60" w:name="_Toc535814466"/>
      <w:bookmarkStart w:id="61" w:name="_Toc120411834"/>
      <w:bookmarkStart w:id="62" w:name="_Toc535891688"/>
      <w:bookmarkStart w:id="63" w:name="_Toc535815711"/>
      <w:bookmarkStart w:id="64" w:name="_Toc535832555"/>
      <w:r>
        <w:br w:type="page"/>
      </w:r>
      <w:bookmarkStart w:id="65" w:name="_Toc1501"/>
      <w:r>
        <w:rPr>
          <w:rFonts w:hint="eastAsia"/>
        </w:rPr>
        <w:t xml:space="preserve">第三章 </w:t>
      </w:r>
      <w:bookmarkEnd w:id="58"/>
      <w:r>
        <w:rPr>
          <w:rFonts w:hint="eastAsia"/>
        </w:rPr>
        <w:t>项目采购需求</w:t>
      </w:r>
      <w:bookmarkEnd w:id="65"/>
    </w:p>
    <w:p>
      <w:pPr>
        <w:widowControl/>
        <w:adjustRightInd w:val="0"/>
        <w:snapToGrid w:val="0"/>
        <w:spacing w:after="120" w:afterLines="50" w:line="500" w:lineRule="exact"/>
        <w:jc w:val="left"/>
        <w:rPr>
          <w:rFonts w:ascii="宋体" w:hAnsi="宋体" w:cs="宋体"/>
          <w:b/>
          <w:kern w:val="0"/>
          <w:sz w:val="24"/>
        </w:rPr>
      </w:pPr>
      <w:bookmarkStart w:id="66" w:name="_Toc198345621"/>
      <w:r>
        <w:rPr>
          <w:rFonts w:hint="eastAsia" w:ascii="宋体" w:hAnsi="宋体" w:cs="宋体"/>
          <w:b/>
          <w:kern w:val="0"/>
          <w:sz w:val="24"/>
        </w:rPr>
        <w:t>一、项目概况：</w:t>
      </w:r>
    </w:p>
    <w:p>
      <w:pPr>
        <w:widowControl/>
        <w:numPr>
          <w:ilvl w:val="0"/>
          <w:numId w:val="5"/>
        </w:numPr>
        <w:spacing w:line="360" w:lineRule="auto"/>
        <w:ind w:firstLine="480"/>
        <w:jc w:val="left"/>
        <w:rPr>
          <w:sz w:val="24"/>
        </w:rPr>
      </w:pPr>
      <w:r>
        <w:rPr>
          <w:rFonts w:hint="eastAsia" w:ascii="宋体" w:hAnsi="宋体" w:cs="宋体"/>
          <w:kern w:val="0"/>
          <w:sz w:val="24"/>
        </w:rPr>
        <w:t>项目名</w:t>
      </w:r>
      <w:r>
        <w:rPr>
          <w:rFonts w:hint="eastAsia" w:ascii="宋体" w:hAnsi="宋体" w:cs="宋体"/>
          <w:sz w:val="24"/>
        </w:rPr>
        <w:t>称：</w:t>
      </w:r>
      <w:r>
        <w:rPr>
          <w:rFonts w:hint="eastAsia"/>
          <w:sz w:val="24"/>
        </w:rPr>
        <w:t>黄石市中心医院配电室高低压设备预防性试验项目</w:t>
      </w:r>
    </w:p>
    <w:p>
      <w:pPr>
        <w:widowControl/>
        <w:spacing w:line="360" w:lineRule="auto"/>
        <w:ind w:firstLine="480" w:firstLineChars="200"/>
        <w:jc w:val="left"/>
        <w:rPr>
          <w:rFonts w:ascii="宋体" w:hAnsi="宋体" w:cs="宋体"/>
          <w:kern w:val="0"/>
          <w:sz w:val="24"/>
          <w:u w:val="single"/>
          <w:lang w:bidi="ar"/>
        </w:rPr>
      </w:pPr>
      <w:r>
        <w:rPr>
          <w:rFonts w:hint="eastAsia" w:ascii="宋体" w:hAnsi="宋体" w:cs="宋体"/>
          <w:kern w:val="0"/>
          <w:sz w:val="24"/>
        </w:rPr>
        <w:t>（二）采购预算：</w:t>
      </w:r>
      <w:r>
        <w:rPr>
          <w:rFonts w:hint="eastAsia" w:ascii="宋体" w:hAnsi="宋体" w:cs="Helvetica"/>
          <w:color w:val="333333"/>
          <w:sz w:val="28"/>
          <w:szCs w:val="28"/>
          <w:shd w:val="clear" w:color="auto" w:fill="FFFFFF"/>
        </w:rPr>
        <w:t>8万元</w:t>
      </w:r>
    </w:p>
    <w:p/>
    <w:p>
      <w:pPr>
        <w:adjustRightInd w:val="0"/>
        <w:snapToGrid w:val="0"/>
        <w:spacing w:line="560" w:lineRule="exact"/>
        <w:rPr>
          <w:rFonts w:ascii="宋体" w:hAnsi="宋体"/>
          <w:b/>
          <w:snapToGrid w:val="0"/>
          <w:kern w:val="0"/>
          <w:sz w:val="24"/>
        </w:rPr>
      </w:pPr>
      <w:bookmarkStart w:id="67" w:name="_Toc22576"/>
      <w:r>
        <w:rPr>
          <w:rFonts w:hint="eastAsia" w:ascii="宋体" w:hAnsi="宋体"/>
          <w:b/>
          <w:snapToGrid w:val="0"/>
          <w:kern w:val="0"/>
          <w:sz w:val="24"/>
        </w:rPr>
        <w:t>二、技术参数</w:t>
      </w:r>
    </w:p>
    <w:bookmarkEnd w:id="66"/>
    <w:bookmarkEnd w:id="67"/>
    <w:p>
      <w:pPr>
        <w:spacing w:line="360" w:lineRule="auto"/>
        <w:rPr>
          <w:b/>
          <w:bCs/>
        </w:rPr>
      </w:pPr>
      <w:r>
        <w:rPr>
          <w:rFonts w:hint="eastAsia"/>
          <w:b/>
          <w:bCs/>
        </w:rPr>
        <w:t>中心院区配电室柜体数量明确如下：</w:t>
      </w:r>
    </w:p>
    <w:p>
      <w:pPr>
        <w:spacing w:line="360" w:lineRule="auto"/>
      </w:pPr>
      <w:r>
        <w:rPr>
          <w:b/>
          <w:bCs/>
        </w:rPr>
        <w:t>2号楼：</w:t>
      </w:r>
      <w:r>
        <w:t>高压进线柜2个，计量柜2个，变压器高压馈线柜2个，变压器柜</w:t>
      </w:r>
    </w:p>
    <w:p>
      <w:pPr>
        <w:spacing w:line="360" w:lineRule="auto"/>
      </w:pPr>
      <w:r>
        <w:t>2个，变压器低压进线柜2个，无功补偿柜2个，低压出线柜7个，1号、3号</w:t>
      </w:r>
    </w:p>
    <w:p>
      <w:pPr>
        <w:spacing w:line="360" w:lineRule="auto"/>
      </w:pPr>
      <w:r>
        <w:t>变压器低压母线联络柜1个，2号楼1号变压器和3号楼1号变压器低压母线联</w:t>
      </w:r>
    </w:p>
    <w:p>
      <w:pPr>
        <w:spacing w:line="360" w:lineRule="auto"/>
      </w:pPr>
      <w:r>
        <w:t>络柜1个，直流屏柜1个。</w:t>
      </w:r>
    </w:p>
    <w:p>
      <w:pPr>
        <w:spacing w:line="360" w:lineRule="auto"/>
      </w:pPr>
      <w:r>
        <w:rPr>
          <w:b/>
          <w:bCs/>
        </w:rPr>
        <w:t>3号楼：</w:t>
      </w:r>
      <w:r>
        <w:t>高压进线柜2个，电压互感柜2个，计量柜2个，变压器馈线柜3</w:t>
      </w:r>
    </w:p>
    <w:p>
      <w:pPr>
        <w:spacing w:line="360" w:lineRule="auto"/>
      </w:pPr>
      <w:r>
        <w:t>个，直流屏柜1个，变压器柜3个，变压器低压进线柜3个，无功补偿柜6个，</w:t>
      </w:r>
    </w:p>
    <w:p>
      <w:pPr>
        <w:spacing w:line="360" w:lineRule="auto"/>
      </w:pPr>
      <w:r>
        <w:t>低压出线柜15个，1号、2号变压器低压母线联络柜1个，2号楼1号变压器、</w:t>
      </w:r>
    </w:p>
    <w:p>
      <w:pPr>
        <w:spacing w:line="360" w:lineRule="auto"/>
      </w:pPr>
      <w:r>
        <w:t>3号楼1号变压器低压母线联络柜1个。</w:t>
      </w:r>
    </w:p>
    <w:p>
      <w:pPr>
        <w:spacing w:line="360" w:lineRule="auto"/>
      </w:pPr>
      <w:r>
        <w:rPr>
          <w:b/>
          <w:bCs/>
        </w:rPr>
        <w:t>6号楼：</w:t>
      </w:r>
      <w:r>
        <w:t>高压进线柜2个，计量柜2个，变压器馈线柜2个，环网柜2个，</w:t>
      </w:r>
    </w:p>
    <w:p>
      <w:pPr>
        <w:spacing w:line="360" w:lineRule="auto"/>
      </w:pPr>
      <w:r>
        <w:t>隔离柜1个，高压母线柜1个，PT避雷器柜2个，直流屏柜1个，变压器柜2</w:t>
      </w:r>
    </w:p>
    <w:p>
      <w:pPr>
        <w:spacing w:line="360" w:lineRule="auto"/>
      </w:pPr>
      <w:r>
        <w:t>个，变压器低压进线柜2个，电容补偿柜2个，低压联络柜2个，双电源柜1个，</w:t>
      </w:r>
    </w:p>
    <w:p>
      <w:pPr>
        <w:spacing w:line="360" w:lineRule="auto"/>
      </w:pPr>
      <w:r>
        <w:t>低压出线柜9个。</w:t>
      </w:r>
    </w:p>
    <w:p>
      <w:pPr>
        <w:spacing w:line="360" w:lineRule="auto"/>
      </w:pPr>
      <w:r>
        <w:rPr>
          <w:b/>
          <w:bCs/>
        </w:rPr>
        <w:t>8号楼：</w:t>
      </w:r>
      <w:r>
        <w:t>高压进线柜1个，油式变压器1个，低压开关柜1个。</w:t>
      </w:r>
    </w:p>
    <w:p>
      <w:pPr>
        <w:spacing w:line="360" w:lineRule="auto"/>
        <w:rPr>
          <w:b/>
          <w:bCs/>
        </w:rPr>
      </w:pPr>
      <w:r>
        <w:rPr>
          <w:rFonts w:hint="eastAsia"/>
          <w:b/>
          <w:bCs/>
        </w:rPr>
        <w:t>试验内容</w:t>
      </w:r>
    </w:p>
    <w:p>
      <w:pPr>
        <w:spacing w:line="360" w:lineRule="auto"/>
        <w:rPr>
          <w:b/>
          <w:bCs/>
        </w:rPr>
      </w:pPr>
      <w:r>
        <w:rPr>
          <w:rFonts w:hint="eastAsia"/>
          <w:b/>
          <w:bCs/>
        </w:rPr>
        <w:t>变压器试验内容：</w:t>
      </w:r>
    </w:p>
    <w:p>
      <w:pPr>
        <w:spacing w:line="360" w:lineRule="auto"/>
      </w:pPr>
      <w:r>
        <w:t>绕组绝缘、直流电阻、吸收比或极化指数</w:t>
      </w:r>
    </w:p>
    <w:p>
      <w:pPr>
        <w:spacing w:line="360" w:lineRule="auto"/>
      </w:pPr>
      <w:r>
        <w:t>交流耐压试验</w:t>
      </w:r>
    </w:p>
    <w:p>
      <w:pPr>
        <w:spacing w:line="360" w:lineRule="auto"/>
      </w:pPr>
      <w:r>
        <w:t>绕组泄露电流</w:t>
      </w:r>
    </w:p>
    <w:p>
      <w:pPr>
        <w:spacing w:line="360" w:lineRule="auto"/>
      </w:pPr>
      <w:r>
        <w:t>测温装置及其二次回路试验</w:t>
      </w:r>
    </w:p>
    <w:p>
      <w:pPr>
        <w:spacing w:line="360" w:lineRule="auto"/>
      </w:pPr>
      <w:r>
        <w:t>冷却装置及其二次回路检查试验</w:t>
      </w:r>
    </w:p>
    <w:p>
      <w:pPr>
        <w:spacing w:line="360" w:lineRule="auto"/>
      </w:pPr>
      <w:r>
        <w:t>电流互感器检查试验</w:t>
      </w:r>
    </w:p>
    <w:p>
      <w:pPr>
        <w:spacing w:line="360" w:lineRule="auto"/>
      </w:pPr>
      <w:r>
        <w:t>振动</w:t>
      </w:r>
    </w:p>
    <w:p>
      <w:pPr>
        <w:spacing w:line="360" w:lineRule="auto"/>
      </w:pPr>
      <w:r>
        <w:t>噪声</w:t>
      </w:r>
    </w:p>
    <w:p>
      <w:pPr>
        <w:spacing w:line="360" w:lineRule="auto"/>
      </w:pPr>
      <w:r>
        <w:rPr>
          <w:b/>
          <w:bCs/>
        </w:rPr>
        <w:t>开关设备试验试验：</w:t>
      </w:r>
    </w:p>
    <w:p>
      <w:pPr>
        <w:spacing w:line="360" w:lineRule="auto"/>
      </w:pPr>
      <w:r>
        <w:t>真空断路器试验内容：</w:t>
      </w:r>
    </w:p>
    <w:p>
      <w:pPr>
        <w:spacing w:line="360" w:lineRule="auto"/>
      </w:pPr>
      <w:r>
        <w:t>绝缘电阻</w:t>
      </w:r>
    </w:p>
    <w:p>
      <w:pPr>
        <w:spacing w:line="360" w:lineRule="auto"/>
      </w:pPr>
      <w:r>
        <w:t>交流耐压试验</w:t>
      </w:r>
    </w:p>
    <w:p>
      <w:pPr>
        <w:spacing w:line="360" w:lineRule="auto"/>
      </w:pPr>
      <w:r>
        <w:t>导电回路电阻</w:t>
      </w:r>
    </w:p>
    <w:p>
      <w:pPr>
        <w:spacing w:line="360" w:lineRule="auto"/>
      </w:pPr>
      <w:r>
        <w:t>断路器的合、分闸时间、速度</w:t>
      </w:r>
    </w:p>
    <w:p>
      <w:pPr>
        <w:spacing w:line="360" w:lineRule="auto"/>
      </w:pPr>
      <w:r>
        <w:t>断路器触头分、</w:t>
      </w:r>
      <w:r>
        <w:rPr>
          <w:rFonts w:hint="eastAsia"/>
        </w:rPr>
        <w:t>操动机构合闸接触器和分、合闸电磁铁的最低动作电</w:t>
      </w:r>
      <w:r>
        <w:t>压</w:t>
      </w:r>
    </w:p>
    <w:p>
      <w:pPr>
        <w:spacing w:line="360" w:lineRule="auto"/>
      </w:pPr>
      <w:r>
        <w:t>合闸接触器和分、合闸电磁铁线圈的绝缘、直流电阻</w:t>
      </w:r>
    </w:p>
    <w:p>
      <w:pPr>
        <w:spacing w:line="360" w:lineRule="auto"/>
      </w:pPr>
      <w:r>
        <w:t>检查动触头上的软联结夹片有无松动</w:t>
      </w:r>
    </w:p>
    <w:p>
      <w:pPr>
        <w:spacing w:line="360" w:lineRule="auto"/>
      </w:pPr>
      <w:r>
        <w:t>高压开关柜的试验内容：</w:t>
      </w:r>
    </w:p>
    <w:p>
      <w:pPr>
        <w:spacing w:line="360" w:lineRule="auto"/>
      </w:pPr>
      <w:r>
        <w:t>辅助和控制回路的绝缘电阻</w:t>
      </w:r>
    </w:p>
    <w:p>
      <w:pPr>
        <w:spacing w:line="360" w:lineRule="auto"/>
      </w:pPr>
      <w:r>
        <w:t>辅助和控制回路交流耐压试验</w:t>
      </w:r>
    </w:p>
    <w:p>
      <w:pPr>
        <w:spacing w:line="360" w:lineRule="auto"/>
      </w:pPr>
      <w:r>
        <w:t>断路器的速度特性</w:t>
      </w:r>
    </w:p>
    <w:p>
      <w:pPr>
        <w:spacing w:line="360" w:lineRule="auto"/>
      </w:pPr>
      <w:r>
        <w:t>断路器的分、合闸时间和三相分、合闸同期性</w:t>
      </w:r>
    </w:p>
    <w:p>
      <w:pPr>
        <w:spacing w:line="360" w:lineRule="auto"/>
      </w:pPr>
      <w:r>
        <w:t>断路器、隔离开关及隔离插头的导电回路电阻</w:t>
      </w:r>
    </w:p>
    <w:p>
      <w:pPr>
        <w:spacing w:line="360" w:lineRule="auto"/>
      </w:pPr>
      <w:r>
        <w:t>操动机构合闸接触器和分、合闸电磁铁的最低动作电压</w:t>
      </w:r>
    </w:p>
    <w:p>
      <w:pPr>
        <w:spacing w:line="360" w:lineRule="auto"/>
      </w:pPr>
      <w:r>
        <w:t>合闸接触器和分、合闸电磁铁线圈的绝缘、直流电阻</w:t>
      </w:r>
    </w:p>
    <w:p>
      <w:pPr>
        <w:spacing w:line="360" w:lineRule="auto"/>
      </w:pPr>
      <w:r>
        <w:t>绝缘电阻试验</w:t>
      </w:r>
    </w:p>
    <w:p>
      <w:pPr>
        <w:spacing w:line="360" w:lineRule="auto"/>
      </w:pPr>
      <w:r>
        <w:t>五防性能检查（防止误分、防止带负荷拉、合隔离开关；防止带电挂、</w:t>
      </w:r>
    </w:p>
    <w:p>
      <w:pPr>
        <w:spacing w:line="360" w:lineRule="auto"/>
      </w:pPr>
      <w:r>
        <w:t>合接地开关；防止带接地线合断路器：防止误入带电间隔）</w:t>
      </w:r>
    </w:p>
    <w:p>
      <w:pPr>
        <w:spacing w:line="360" w:lineRule="auto"/>
      </w:pPr>
      <w:r>
        <w:t>高压开关柜的电流互感器</w:t>
      </w:r>
    </w:p>
    <w:p>
      <w:pPr>
        <w:spacing w:line="360" w:lineRule="auto"/>
      </w:pPr>
      <w:r>
        <w:t>电池直流屏试验内容：蓄电池放电终止电压测试</w:t>
      </w:r>
    </w:p>
    <w:p>
      <w:pPr>
        <w:spacing w:line="360" w:lineRule="auto"/>
      </w:pPr>
      <w:r>
        <w:t>各项保护检查（闪光系统；建议监察系统；电压监视系统；光字牌；声</w:t>
      </w:r>
    </w:p>
    <w:p>
      <w:pPr>
        <w:spacing w:line="360" w:lineRule="auto"/>
      </w:pPr>
      <w:r>
        <w:t>响）</w:t>
      </w:r>
    </w:p>
    <w:p>
      <w:pPr>
        <w:spacing w:line="360" w:lineRule="auto"/>
      </w:pPr>
      <w:r>
        <w:t>直流屏中控制母线和动力母线的绝缘电阻</w:t>
      </w:r>
    </w:p>
    <w:p>
      <w:pPr>
        <w:spacing w:line="360" w:lineRule="auto"/>
        <w:rPr>
          <w:b/>
          <w:bCs/>
        </w:rPr>
      </w:pPr>
      <w:r>
        <w:rPr>
          <w:b/>
          <w:bCs/>
        </w:rPr>
        <w:t>电缆、母线试验内容：</w:t>
      </w:r>
    </w:p>
    <w:p>
      <w:pPr>
        <w:spacing w:line="360" w:lineRule="auto"/>
      </w:pPr>
      <w:r>
        <w:t>绝缘电阻</w:t>
      </w:r>
    </w:p>
    <w:p>
      <w:pPr>
        <w:spacing w:line="360" w:lineRule="auto"/>
        <w:rPr>
          <w:b/>
          <w:bCs/>
        </w:rPr>
      </w:pPr>
      <w:r>
        <w:rPr>
          <w:b/>
          <w:bCs/>
        </w:rPr>
        <w:t>电容试验内容：</w:t>
      </w:r>
    </w:p>
    <w:p>
      <w:pPr>
        <w:spacing w:line="360" w:lineRule="auto"/>
      </w:pPr>
      <w:r>
        <w:t>电容值 绝缘电阻、</w:t>
      </w:r>
    </w:p>
    <w:p>
      <w:pPr>
        <w:spacing w:line="360" w:lineRule="auto"/>
      </w:pPr>
      <w:r>
        <w:t>放电线圈试验内容：绝缘电阻</w:t>
      </w:r>
    </w:p>
    <w:p>
      <w:pPr>
        <w:spacing w:line="360" w:lineRule="auto"/>
      </w:pPr>
      <w:r>
        <w:t>绕组的交流耐压试验</w:t>
      </w:r>
    </w:p>
    <w:p>
      <w:pPr>
        <w:spacing w:line="360" w:lineRule="auto"/>
      </w:pPr>
      <w:r>
        <w:t>绝缘油击穿电压 一次绕组直流电阻</w:t>
      </w:r>
    </w:p>
    <w:p>
      <w:pPr>
        <w:spacing w:line="360" w:lineRule="auto"/>
      </w:pPr>
      <w:r>
        <w:t>电压比</w:t>
      </w:r>
    </w:p>
    <w:p>
      <w:pPr>
        <w:spacing w:line="360" w:lineRule="auto"/>
        <w:rPr>
          <w:b/>
          <w:bCs/>
        </w:rPr>
      </w:pPr>
      <w:r>
        <w:rPr>
          <w:b/>
          <w:bCs/>
        </w:rPr>
        <w:t>封闭母线试验内容：</w:t>
      </w:r>
    </w:p>
    <w:p>
      <w:pPr>
        <w:spacing w:line="360" w:lineRule="auto"/>
      </w:pPr>
      <w:r>
        <w:t>绝缘电阻</w:t>
      </w:r>
    </w:p>
    <w:p>
      <w:pPr>
        <w:spacing w:line="360" w:lineRule="auto"/>
        <w:rPr>
          <w:b/>
          <w:bCs/>
        </w:rPr>
      </w:pPr>
      <w:r>
        <w:rPr>
          <w:b/>
          <w:bCs/>
        </w:rPr>
        <w:t>接地装置试验内容：</w:t>
      </w:r>
    </w:p>
    <w:p>
      <w:pPr>
        <w:spacing w:line="360" w:lineRule="auto"/>
      </w:pPr>
      <w:r>
        <w:t>有效接地系统的电力设备的接地电阻</w:t>
      </w:r>
    </w:p>
    <w:p>
      <w:pPr>
        <w:spacing w:line="360" w:lineRule="auto"/>
      </w:pPr>
      <w:r>
        <w:t>非有效接地系统的电力设备的接地电阻</w:t>
      </w:r>
    </w:p>
    <w:p>
      <w:pPr>
        <w:spacing w:line="360" w:lineRule="auto"/>
      </w:pPr>
      <w:r>
        <w:t>利用大地作导体的电力设备的接地电阻</w:t>
      </w:r>
    </w:p>
    <w:p>
      <w:pPr>
        <w:spacing w:line="360" w:lineRule="auto"/>
      </w:pPr>
      <w:r>
        <w:t>IKV以下电力设备的接地电阻</w:t>
      </w:r>
    </w:p>
    <w:p>
      <w:pPr>
        <w:spacing w:line="560" w:lineRule="exact"/>
        <w:rPr>
          <w:rFonts w:ascii="宋体" w:hAnsi="宋体"/>
          <w:sz w:val="24"/>
        </w:rPr>
      </w:pPr>
    </w:p>
    <w:p>
      <w:pPr>
        <w:spacing w:line="560" w:lineRule="exact"/>
        <w:rPr>
          <w:rFonts w:ascii="宋体" w:hAnsi="宋体"/>
          <w:sz w:val="24"/>
        </w:rPr>
      </w:pPr>
    </w:p>
    <w:bookmarkEnd w:id="59"/>
    <w:bookmarkEnd w:id="60"/>
    <w:bookmarkEnd w:id="61"/>
    <w:bookmarkEnd w:id="62"/>
    <w:bookmarkEnd w:id="63"/>
    <w:bookmarkEnd w:id="64"/>
    <w:p>
      <w:bookmarkStart w:id="68" w:name="_Toc120411848"/>
      <w:bookmarkStart w:id="69" w:name="_Toc22743"/>
      <w:bookmarkStart w:id="70" w:name="_Toc535815712"/>
    </w:p>
    <w:p>
      <w:pPr>
        <w:pStyle w:val="5"/>
        <w:numPr>
          <w:ilvl w:val="0"/>
          <w:numId w:val="0"/>
        </w:numPr>
        <w:spacing w:line="560" w:lineRule="exact"/>
        <w:ind w:left="1132" w:hanging="1132" w:hangingChars="470"/>
        <w:jc w:val="center"/>
      </w:pPr>
      <w:r>
        <w:rPr>
          <w:rFonts w:hint="eastAsia"/>
        </w:rPr>
        <w:t>一、</w:t>
      </w:r>
      <w:bookmarkEnd w:id="68"/>
      <w:r>
        <w:rPr>
          <w:rFonts w:hint="eastAsia"/>
        </w:rPr>
        <w:t>法定代表人授权委托书</w:t>
      </w:r>
      <w:bookmarkEnd w:id="69"/>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60" w:lineRule="exact"/>
        <w:jc w:val="left"/>
        <w:rPr>
          <w:rFonts w:ascii="宋体" w:hAnsi="宋体"/>
          <w:b/>
          <w:color w:val="FF0000"/>
          <w:sz w:val="24"/>
        </w:rPr>
      </w:pPr>
    </w:p>
    <w:p>
      <w:pPr>
        <w:adjustRightInd w:val="0"/>
        <w:snapToGrid w:val="0"/>
        <w:spacing w:line="560" w:lineRule="exact"/>
        <w:jc w:val="left"/>
        <w:rPr>
          <w:rFonts w:ascii="宋体" w:hAnsi="宋体"/>
          <w:b/>
          <w:color w:val="FF0000"/>
          <w:sz w:val="24"/>
        </w:rPr>
      </w:pPr>
    </w:p>
    <w:p>
      <w:pPr>
        <w:pStyle w:val="67"/>
        <w:spacing w:line="300" w:lineRule="auto"/>
        <w:jc w:val="center"/>
        <w:rPr>
          <w:rFonts w:hAnsi="宋体" w:cs="Arial"/>
          <w:b/>
          <w:color w:val="auto"/>
        </w:rPr>
      </w:pPr>
      <w:r>
        <w:rPr>
          <w:rFonts w:hAnsi="宋体" w:cs="Arial"/>
          <w:b/>
          <w:color w:val="auto"/>
        </w:rPr>
        <w:t>法定代表人身份证明</w:t>
      </w:r>
      <w:r>
        <w:rPr>
          <w:rFonts w:hint="eastAsia" w:hAnsi="宋体" w:cs="Arial"/>
          <w:b/>
          <w:color w:val="auto"/>
        </w:rPr>
        <w:t>书</w:t>
      </w:r>
    </w:p>
    <w:p>
      <w:pPr>
        <w:pStyle w:val="67"/>
        <w:spacing w:line="500" w:lineRule="exact"/>
        <w:jc w:val="both"/>
        <w:rPr>
          <w:rFonts w:ascii="Arial" w:hAnsi="Arial" w:cs="Arial"/>
          <w:color w:val="auto"/>
        </w:rPr>
      </w:pPr>
    </w:p>
    <w:p>
      <w:pPr>
        <w:pStyle w:val="67"/>
        <w:spacing w:line="500" w:lineRule="exact"/>
        <w:jc w:val="both"/>
        <w:rPr>
          <w:rFonts w:ascii="Arial" w:hAnsi="Arial" w:cs="Arial"/>
          <w:color w:val="auto"/>
        </w:rPr>
      </w:pPr>
      <w:r>
        <w:rPr>
          <w:rFonts w:ascii="Arial" w:hAnsi="Arial" w:cs="Arial"/>
          <w:color w:val="auto"/>
        </w:rPr>
        <w:t xml:space="preserve">供应商名称：                               </w:t>
      </w:r>
    </w:p>
    <w:p>
      <w:pPr>
        <w:pStyle w:val="67"/>
        <w:spacing w:line="500" w:lineRule="exact"/>
        <w:jc w:val="both"/>
        <w:rPr>
          <w:rFonts w:ascii="Arial" w:hAnsi="Arial" w:cs="Arial"/>
          <w:color w:val="auto"/>
        </w:rPr>
      </w:pPr>
      <w:r>
        <w:rPr>
          <w:rFonts w:ascii="Arial" w:hAnsi="Arial" w:cs="Arial"/>
          <w:color w:val="auto"/>
        </w:rPr>
        <w:t xml:space="preserve">单位性质：                                </w:t>
      </w:r>
    </w:p>
    <w:p>
      <w:pPr>
        <w:pStyle w:val="67"/>
        <w:spacing w:line="500" w:lineRule="exact"/>
        <w:jc w:val="both"/>
        <w:rPr>
          <w:rFonts w:ascii="Arial" w:hAnsi="Arial" w:cs="Arial"/>
          <w:color w:val="auto"/>
        </w:rPr>
      </w:pPr>
      <w:r>
        <w:rPr>
          <w:rFonts w:ascii="Arial" w:hAnsi="Arial" w:cs="Arial"/>
          <w:color w:val="auto"/>
        </w:rPr>
        <w:t xml:space="preserve">成立时间：         年          月        日 </w:t>
      </w:r>
    </w:p>
    <w:p>
      <w:pPr>
        <w:pStyle w:val="67"/>
        <w:spacing w:line="500" w:lineRule="exact"/>
        <w:jc w:val="both"/>
        <w:rPr>
          <w:rFonts w:ascii="Arial" w:hAnsi="Arial" w:cs="Arial"/>
          <w:color w:val="auto"/>
        </w:rPr>
      </w:pPr>
      <w:r>
        <w:rPr>
          <w:rFonts w:ascii="Arial" w:hAnsi="Arial" w:cs="Arial"/>
          <w:color w:val="auto"/>
        </w:rPr>
        <w:t xml:space="preserve">经营期限：                                   </w:t>
      </w:r>
    </w:p>
    <w:p>
      <w:pPr>
        <w:pStyle w:val="67"/>
        <w:spacing w:line="500" w:lineRule="exact"/>
        <w:jc w:val="both"/>
        <w:rPr>
          <w:rFonts w:ascii="Arial" w:hAnsi="Arial" w:cs="Arial"/>
          <w:color w:val="auto"/>
        </w:rPr>
      </w:pPr>
      <w:r>
        <w:rPr>
          <w:rFonts w:ascii="Arial" w:hAnsi="Arial" w:cs="Arial"/>
          <w:color w:val="auto"/>
        </w:rPr>
        <w:t xml:space="preserve">姓名：         性别：         年龄：         职务：         </w:t>
      </w:r>
    </w:p>
    <w:p>
      <w:pPr>
        <w:pStyle w:val="67"/>
        <w:spacing w:line="500" w:lineRule="exact"/>
        <w:jc w:val="both"/>
        <w:rPr>
          <w:rFonts w:ascii="Arial" w:hAnsi="Arial" w:cs="Arial"/>
          <w:color w:val="auto"/>
        </w:rPr>
      </w:pPr>
      <w:r>
        <w:rPr>
          <w:rFonts w:ascii="Arial" w:hAnsi="Arial" w:cs="Arial"/>
          <w:color w:val="auto"/>
        </w:rPr>
        <w:t>系                                （供应商名称）的法定代表人</w:t>
      </w:r>
    </w:p>
    <w:p>
      <w:pPr>
        <w:pStyle w:val="67"/>
        <w:spacing w:line="500" w:lineRule="exact"/>
        <w:ind w:firstLine="480" w:firstLineChars="200"/>
        <w:jc w:val="both"/>
        <w:rPr>
          <w:rFonts w:ascii="Arial" w:hAnsi="Arial" w:cs="Arial"/>
          <w:color w:val="auto"/>
        </w:rPr>
      </w:pPr>
      <w:r>
        <w:rPr>
          <w:rFonts w:ascii="Arial" w:hAnsi="Arial" w:cs="Arial"/>
          <w:color w:val="auto"/>
        </w:rPr>
        <w:t>特此证明。</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67"/>
        <w:spacing w:line="500" w:lineRule="exact"/>
        <w:ind w:firstLine="5040" w:firstLineChars="2100"/>
        <w:jc w:val="both"/>
        <w:rPr>
          <w:rFonts w:ascii="Arial" w:hAnsi="Arial" w:cs="Arial"/>
          <w:color w:val="auto"/>
        </w:rPr>
      </w:pPr>
    </w:p>
    <w:p>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67"/>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
          <w:bCs/>
          <w:sz w:val="24"/>
        </w:rPr>
      </w:pPr>
      <w:r>
        <w:rPr>
          <w:rFonts w:ascii="宋体" w:hAnsi="宋体"/>
          <w:b/>
          <w:bCs/>
          <w:sz w:val="24"/>
        </w:rPr>
        <w:t>附：法定代表人身份证复印件</w:t>
      </w:r>
    </w:p>
    <w:p>
      <w:pPr>
        <w:adjustRightInd w:val="0"/>
        <w:snapToGrid w:val="0"/>
        <w:spacing w:line="520" w:lineRule="exact"/>
        <w:jc w:val="left"/>
        <w:rPr>
          <w:rFonts w:ascii="宋体" w:hAnsi="宋体"/>
          <w:bCs/>
          <w:sz w:val="24"/>
        </w:rPr>
      </w:pPr>
    </w:p>
    <w:p>
      <w:pPr>
        <w:adjustRightInd w:val="0"/>
        <w:snapToGrid w:val="0"/>
        <w:spacing w:line="520" w:lineRule="exact"/>
        <w:jc w:val="left"/>
        <w:rPr>
          <w:rFonts w:ascii="宋体" w:hAnsi="宋体"/>
          <w:bCs/>
          <w:sz w:val="24"/>
        </w:rPr>
      </w:pPr>
    </w:p>
    <w:p>
      <w:pPr>
        <w:adjustRightInd w:val="0"/>
        <w:snapToGrid w:val="0"/>
        <w:spacing w:line="520" w:lineRule="exact"/>
        <w:jc w:val="left"/>
        <w:rPr>
          <w:rFonts w:ascii="宋体" w:hAnsi="宋体"/>
          <w:bCs/>
          <w:sz w:val="24"/>
        </w:rPr>
      </w:pPr>
    </w:p>
    <w:p>
      <w:pPr>
        <w:adjustRightInd w:val="0"/>
        <w:snapToGrid w:val="0"/>
        <w:spacing w:line="520" w:lineRule="exact"/>
        <w:jc w:val="left"/>
        <w:rPr>
          <w:rFonts w:ascii="宋体" w:hAnsi="宋体"/>
          <w:bCs/>
          <w:sz w:val="24"/>
        </w:rPr>
      </w:pPr>
    </w:p>
    <w:bookmarkEnd w:id="70"/>
    <w:p>
      <w:pPr>
        <w:pStyle w:val="5"/>
        <w:numPr>
          <w:ilvl w:val="0"/>
          <w:numId w:val="0"/>
        </w:numPr>
        <w:spacing w:line="560" w:lineRule="exact"/>
        <w:ind w:left="1132" w:hanging="1132" w:hangingChars="470"/>
        <w:jc w:val="center"/>
      </w:pPr>
      <w:bookmarkStart w:id="71" w:name="_Toc120411849"/>
      <w:bookmarkStart w:id="72" w:name="_Toc9449"/>
    </w:p>
    <w:p>
      <w:pPr>
        <w:pStyle w:val="5"/>
        <w:numPr>
          <w:ilvl w:val="0"/>
          <w:numId w:val="0"/>
        </w:numPr>
        <w:spacing w:line="560" w:lineRule="exact"/>
        <w:ind w:left="1132" w:hanging="1132" w:hangingChars="470"/>
        <w:jc w:val="center"/>
      </w:pPr>
      <w:r>
        <w:rPr>
          <w:rFonts w:hint="eastAsia"/>
        </w:rPr>
        <w:t>三、谈判一览表</w:t>
      </w:r>
      <w:bookmarkEnd w:id="71"/>
      <w:bookmarkEnd w:id="72"/>
    </w:p>
    <w:p>
      <w:pPr>
        <w:spacing w:line="560" w:lineRule="exact"/>
        <w:rPr>
          <w:rFonts w:ascii="宋体" w:hAnsi="宋体" w:cs="Arial"/>
          <w:sz w:val="24"/>
        </w:rPr>
      </w:pPr>
      <w:r>
        <w:rPr>
          <w:rFonts w:hint="eastAsia" w:ascii="宋体" w:hAnsi="宋体" w:cs="Arial"/>
          <w:sz w:val="24"/>
        </w:rPr>
        <w:t>项目</w:t>
      </w:r>
      <w:r>
        <w:rPr>
          <w:rFonts w:ascii="宋体" w:hAnsi="宋体" w:cs="Arial"/>
          <w:sz w:val="24"/>
        </w:rPr>
        <w:t>名称：</w:t>
      </w:r>
      <w:r>
        <w:rPr>
          <w:rFonts w:hint="eastAsia" w:ascii="宋体" w:hAnsi="宋体" w:cs="Arial"/>
          <w:sz w:val="24"/>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4"/>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424" w:type="dxa"/>
            <w:vAlign w:val="center"/>
          </w:tcPr>
          <w:p>
            <w:pPr>
              <w:spacing w:line="560" w:lineRule="exact"/>
              <w:jc w:val="center"/>
              <w:rPr>
                <w:rFonts w:ascii="宋体" w:hAnsi="宋体" w:cs="Arial"/>
                <w:sz w:val="24"/>
              </w:rPr>
            </w:pPr>
            <w:r>
              <w:rPr>
                <w:rFonts w:hint="eastAsia" w:ascii="宋体" w:hAnsi="宋体" w:cs="Arial"/>
                <w:sz w:val="24"/>
              </w:rPr>
              <w:t>供应商名称</w:t>
            </w:r>
          </w:p>
        </w:tc>
        <w:tc>
          <w:tcPr>
            <w:tcW w:w="6136" w:type="dxa"/>
            <w:vAlign w:val="center"/>
          </w:tcPr>
          <w:p>
            <w:pPr>
              <w:spacing w:line="560" w:lineRule="exact"/>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3424" w:type="dxa"/>
            <w:vAlign w:val="center"/>
          </w:tcPr>
          <w:p>
            <w:pPr>
              <w:spacing w:line="560" w:lineRule="exact"/>
              <w:jc w:val="center"/>
              <w:rPr>
                <w:rFonts w:ascii="宋体" w:hAnsi="宋体" w:cs="Arial"/>
                <w:sz w:val="24"/>
              </w:rPr>
            </w:pPr>
            <w:r>
              <w:rPr>
                <w:rFonts w:hint="eastAsia" w:ascii="宋体" w:hAnsi="宋体" w:cs="Arial"/>
                <w:sz w:val="24"/>
              </w:rPr>
              <w:t>项目内容</w:t>
            </w:r>
          </w:p>
        </w:tc>
        <w:tc>
          <w:tcPr>
            <w:tcW w:w="6136" w:type="dxa"/>
            <w:vAlign w:val="center"/>
          </w:tcPr>
          <w:p>
            <w:pPr>
              <w:spacing w:line="560" w:lineRule="exact"/>
              <w:rPr>
                <w:rFonts w:ascii="宋体" w:hAnsi="宋体" w:cs="Arial"/>
                <w:sz w:val="24"/>
              </w:rPr>
            </w:pPr>
            <w:r>
              <w:rPr>
                <w:rFonts w:hint="eastAsia" w:ascii="宋体" w:hAnsi="宋体" w:cs="Arial"/>
                <w:sz w:val="24"/>
              </w:rPr>
              <w:t>（注：按第三章“项目采购需求”的要求填写）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3424" w:type="dxa"/>
            <w:vAlign w:val="center"/>
          </w:tcPr>
          <w:p>
            <w:pPr>
              <w:spacing w:line="560" w:lineRule="exact"/>
              <w:jc w:val="center"/>
              <w:rPr>
                <w:rFonts w:ascii="宋体" w:hAnsi="宋体" w:cs="Arial"/>
                <w:sz w:val="24"/>
              </w:rPr>
            </w:pPr>
            <w:r>
              <w:rPr>
                <w:rFonts w:hint="eastAsia" w:ascii="宋体" w:hAnsi="宋体" w:cs="Arial"/>
                <w:sz w:val="24"/>
              </w:rPr>
              <w:t>谈判报价（首次）</w:t>
            </w:r>
          </w:p>
        </w:tc>
        <w:tc>
          <w:tcPr>
            <w:tcW w:w="6136" w:type="dxa"/>
            <w:vAlign w:val="center"/>
          </w:tcPr>
          <w:p>
            <w:pPr>
              <w:spacing w:line="560" w:lineRule="exact"/>
              <w:rPr>
                <w:rFonts w:ascii="宋体" w:hAnsi="宋体" w:cs="Arial"/>
                <w:sz w:val="24"/>
              </w:rPr>
            </w:pPr>
            <w:r>
              <w:rPr>
                <w:rFonts w:hint="eastAsia" w:ascii="宋体" w:hAnsi="宋体" w:cs="Arial"/>
                <w:sz w:val="24"/>
              </w:rPr>
              <w:t>大写：</w:t>
            </w:r>
          </w:p>
          <w:p>
            <w:pPr>
              <w:spacing w:line="560" w:lineRule="exact"/>
              <w:rPr>
                <w:rFonts w:ascii="宋体" w:hAnsi="宋体" w:cs="Arial"/>
                <w:sz w:val="24"/>
              </w:rPr>
            </w:pPr>
            <w:r>
              <w:rPr>
                <w:rFonts w:hint="eastAsia" w:ascii="宋体" w:hAnsi="宋体" w:cs="Arial"/>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3424" w:type="dxa"/>
            <w:vAlign w:val="center"/>
          </w:tcPr>
          <w:p>
            <w:pPr>
              <w:spacing w:line="560" w:lineRule="exact"/>
              <w:jc w:val="center"/>
              <w:rPr>
                <w:rFonts w:ascii="宋体" w:hAnsi="宋体" w:cs="Arial"/>
                <w:sz w:val="24"/>
              </w:rPr>
            </w:pPr>
            <w:r>
              <w:rPr>
                <w:rFonts w:hint="eastAsia" w:ascii="宋体" w:hAnsi="宋体" w:cs="Arial"/>
                <w:sz w:val="24"/>
              </w:rPr>
              <w:t>交货期及误期处罚</w:t>
            </w:r>
          </w:p>
        </w:tc>
        <w:tc>
          <w:tcPr>
            <w:tcW w:w="6136" w:type="dxa"/>
            <w:vAlign w:val="center"/>
          </w:tcPr>
          <w:p>
            <w:pPr>
              <w:spacing w:line="560" w:lineRule="exact"/>
              <w:rPr>
                <w:rFonts w:ascii="宋体" w:hAnsi="宋体" w:cs="Arial"/>
                <w:sz w:val="24"/>
              </w:rPr>
            </w:pPr>
            <w:r>
              <w:rPr>
                <w:rFonts w:hint="eastAsia" w:ascii="宋体" w:hAnsi="宋体" w:cs="Arial"/>
                <w:sz w:val="24"/>
              </w:rPr>
              <w:t>供货期：</w:t>
            </w:r>
          </w:p>
          <w:p>
            <w:pPr>
              <w:spacing w:line="560" w:lineRule="exact"/>
              <w:rPr>
                <w:rFonts w:ascii="宋体" w:hAnsi="宋体" w:cs="Arial"/>
                <w:sz w:val="24"/>
              </w:rPr>
            </w:pPr>
            <w:r>
              <w:rPr>
                <w:rFonts w:hint="eastAsia" w:ascii="宋体" w:hAnsi="宋体" w:cs="Arial"/>
                <w:sz w:val="24"/>
              </w:rPr>
              <w:t>误期每日处罚：</w:t>
            </w:r>
          </w:p>
          <w:p>
            <w:pPr>
              <w:spacing w:line="560" w:lineRule="exact"/>
              <w:rPr>
                <w:rFonts w:ascii="宋体" w:hAnsi="宋体" w:cs="Arial"/>
                <w:sz w:val="24"/>
              </w:rPr>
            </w:pPr>
            <w:r>
              <w:rPr>
                <w:rFonts w:hint="eastAsia" w:ascii="宋体" w:hAnsi="宋体" w:cs="Arial"/>
                <w:sz w:val="24"/>
              </w:rPr>
              <w:t>误期处罚限额：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424" w:type="dxa"/>
            <w:vAlign w:val="center"/>
          </w:tcPr>
          <w:p>
            <w:pPr>
              <w:spacing w:line="560" w:lineRule="exact"/>
              <w:jc w:val="center"/>
              <w:rPr>
                <w:rFonts w:ascii="宋体" w:hAnsi="宋体" w:cs="Arial"/>
                <w:sz w:val="24"/>
              </w:rPr>
            </w:pPr>
            <w:r>
              <w:rPr>
                <w:rFonts w:hint="eastAsia" w:ascii="宋体" w:hAnsi="宋体" w:cs="Arial"/>
                <w:sz w:val="24"/>
              </w:rPr>
              <w:t>备注</w:t>
            </w:r>
          </w:p>
        </w:tc>
        <w:tc>
          <w:tcPr>
            <w:tcW w:w="6136" w:type="dxa"/>
            <w:vAlign w:val="center"/>
          </w:tcPr>
          <w:p>
            <w:pPr>
              <w:spacing w:line="560" w:lineRule="exact"/>
              <w:jc w:val="center"/>
              <w:rPr>
                <w:rFonts w:ascii="宋体" w:hAnsi="宋体" w:cs="Arial"/>
                <w:sz w:val="24"/>
              </w:rPr>
            </w:pPr>
          </w:p>
        </w:tc>
      </w:tr>
    </w:tbl>
    <w:p>
      <w:pPr>
        <w:spacing w:line="560" w:lineRule="exact"/>
        <w:rPr>
          <w:rFonts w:ascii="宋体" w:hAnsi="宋体" w:cs="Arial"/>
          <w:b/>
          <w:iCs/>
          <w:sz w:val="24"/>
        </w:rPr>
      </w:pPr>
      <w:r>
        <w:rPr>
          <w:rFonts w:hint="eastAsia" w:ascii="宋体" w:hAnsi="宋体" w:cs="Arial"/>
          <w:b/>
          <w:iCs/>
          <w:sz w:val="24"/>
        </w:rPr>
        <w:t>特别说明</w:t>
      </w:r>
      <w:r>
        <w:rPr>
          <w:rFonts w:ascii="宋体" w:hAnsi="宋体" w:cs="Arial"/>
          <w:b/>
          <w:iCs/>
          <w:sz w:val="24"/>
        </w:rPr>
        <w:t>：</w:t>
      </w:r>
    </w:p>
    <w:p>
      <w:pPr>
        <w:tabs>
          <w:tab w:val="left" w:pos="1512"/>
        </w:tabs>
        <w:spacing w:line="560" w:lineRule="exact"/>
        <w:ind w:left="839" w:leftChars="228" w:hanging="360" w:hangingChars="150"/>
        <w:rPr>
          <w:rFonts w:ascii="宋体" w:hAnsi="宋体" w:cs="Arial"/>
          <w:iCs/>
          <w:sz w:val="24"/>
        </w:rPr>
      </w:pPr>
      <w:r>
        <w:rPr>
          <w:rFonts w:hint="eastAsia" w:ascii="宋体" w:hAnsi="宋体" w:cs="Arial"/>
          <w:iCs/>
          <w:sz w:val="24"/>
        </w:rPr>
        <w:t>1</w:t>
      </w:r>
      <w:r>
        <w:rPr>
          <w:rFonts w:hint="eastAsia" w:ascii="宋体" w:hAnsi="宋体"/>
          <w:sz w:val="24"/>
        </w:rPr>
        <w:t>．</w:t>
      </w:r>
      <w:r>
        <w:rPr>
          <w:rFonts w:ascii="宋体" w:hAnsi="宋体" w:cs="Arial"/>
          <w:iCs/>
          <w:sz w:val="24"/>
        </w:rPr>
        <w:t>供应商的谈判</w:t>
      </w:r>
      <w:r>
        <w:rPr>
          <w:rFonts w:hint="eastAsia" w:ascii="宋体" w:hAnsi="宋体" w:cs="Arial"/>
          <w:iCs/>
          <w:sz w:val="24"/>
        </w:rPr>
        <w:t>总</w:t>
      </w:r>
      <w:r>
        <w:rPr>
          <w:rFonts w:ascii="宋体" w:hAnsi="宋体" w:cs="Arial"/>
          <w:iCs/>
          <w:sz w:val="24"/>
        </w:rPr>
        <w:t>价应包括完成本项目的全部费用。供应商对报价的准确性负责，任何漏报、错报等均是供应商的风险。</w:t>
      </w:r>
    </w:p>
    <w:p>
      <w:pPr>
        <w:tabs>
          <w:tab w:val="left" w:pos="1512"/>
        </w:tabs>
        <w:spacing w:line="560" w:lineRule="exact"/>
        <w:ind w:firstLine="480" w:firstLineChars="200"/>
        <w:rPr>
          <w:rFonts w:ascii="宋体" w:hAnsi="宋体" w:cs="Arial"/>
          <w:iCs/>
          <w:sz w:val="24"/>
        </w:rPr>
      </w:pPr>
      <w:r>
        <w:rPr>
          <w:rFonts w:hint="eastAsia" w:ascii="宋体" w:hAnsi="宋体" w:cs="Arial"/>
          <w:iCs/>
          <w:sz w:val="24"/>
        </w:rPr>
        <w:t>2</w:t>
      </w:r>
      <w:r>
        <w:rPr>
          <w:rFonts w:hint="eastAsia" w:ascii="宋体" w:hAnsi="宋体"/>
          <w:sz w:val="24"/>
        </w:rPr>
        <w:t>．</w:t>
      </w:r>
      <w:r>
        <w:rPr>
          <w:rFonts w:ascii="宋体" w:hAnsi="宋体" w:cs="Arial"/>
          <w:iCs/>
          <w:sz w:val="24"/>
        </w:rPr>
        <w:t>供应商</w:t>
      </w:r>
      <w:r>
        <w:rPr>
          <w:rFonts w:hint="eastAsia" w:ascii="宋体" w:hAnsi="宋体" w:cs="Arial"/>
          <w:iCs/>
          <w:sz w:val="24"/>
        </w:rPr>
        <w:t>谈判报价</w:t>
      </w:r>
      <w:r>
        <w:rPr>
          <w:rFonts w:ascii="宋体" w:hAnsi="宋体" w:cs="Arial"/>
          <w:iCs/>
          <w:sz w:val="24"/>
        </w:rPr>
        <w:t>一律用</w:t>
      </w:r>
      <w:r>
        <w:rPr>
          <w:rFonts w:hint="eastAsia" w:ascii="宋体" w:hAnsi="宋体" w:cs="Arial"/>
          <w:iCs/>
          <w:sz w:val="24"/>
        </w:rPr>
        <w:t>人民币报价。</w:t>
      </w: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供应商(盖章):</w:t>
      </w:r>
    </w:p>
    <w:p>
      <w:pPr>
        <w:spacing w:line="560" w:lineRule="exact"/>
        <w:rPr>
          <w:rFonts w:ascii="宋体" w:hAnsi="宋体"/>
          <w:sz w:val="24"/>
        </w:rPr>
      </w:pPr>
      <w:r>
        <w:rPr>
          <w:rFonts w:hint="eastAsia" w:ascii="宋体" w:hAnsi="宋体"/>
          <w:sz w:val="24"/>
        </w:rPr>
        <w:t>供应商授权代表(签字)：                           日期：</w:t>
      </w:r>
    </w:p>
    <w:p>
      <w:pPr>
        <w:spacing w:line="560" w:lineRule="exact"/>
        <w:rPr>
          <w:rFonts w:ascii="宋体" w:hAnsi="宋体"/>
          <w:sz w:val="24"/>
        </w:rPr>
      </w:pPr>
    </w:p>
    <w:p>
      <w:pPr>
        <w:spacing w:line="560" w:lineRule="exact"/>
        <w:rPr>
          <w:rFonts w:ascii="宋体" w:hAnsi="宋体"/>
          <w:sz w:val="24"/>
        </w:rPr>
        <w:sectPr>
          <w:footerReference r:id="rId5" w:type="default"/>
          <w:pgSz w:w="11907" w:h="16840"/>
          <w:pgMar w:top="1134" w:right="1134" w:bottom="1134" w:left="1134" w:header="907" w:footer="907" w:gutter="0"/>
          <w:pgNumType w:start="1"/>
          <w:cols w:space="720" w:num="1"/>
          <w:docGrid w:linePitch="312" w:charSpace="0"/>
        </w:sectPr>
      </w:pPr>
    </w:p>
    <w:p>
      <w:pPr>
        <w:jc w:val="center"/>
        <w:rPr>
          <w:b/>
          <w:bCs/>
          <w:sz w:val="32"/>
          <w:szCs w:val="32"/>
        </w:rPr>
      </w:pPr>
      <w:bookmarkStart w:id="73" w:name="_Toc1372"/>
    </w:p>
    <w:p>
      <w:pPr>
        <w:jc w:val="center"/>
        <w:rPr>
          <w:b/>
          <w:bCs/>
          <w:sz w:val="32"/>
          <w:szCs w:val="32"/>
        </w:rPr>
      </w:pPr>
    </w:p>
    <w:p>
      <w:pPr>
        <w:jc w:val="center"/>
        <w:rPr>
          <w:b/>
          <w:bCs/>
          <w:sz w:val="32"/>
          <w:szCs w:val="32"/>
        </w:rPr>
      </w:pPr>
    </w:p>
    <w:p>
      <w:pPr>
        <w:jc w:val="center"/>
        <w:rPr>
          <w:b/>
          <w:bCs/>
          <w:sz w:val="32"/>
          <w:szCs w:val="32"/>
        </w:rPr>
      </w:pPr>
    </w:p>
    <w:bookmarkEnd w:id="73"/>
    <w:p>
      <w:pPr>
        <w:jc w:val="center"/>
        <w:rPr>
          <w:b/>
          <w:bCs/>
          <w:sz w:val="32"/>
          <w:szCs w:val="32"/>
        </w:rPr>
      </w:pPr>
    </w:p>
    <w:sectPr>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8ED95"/>
    <w:multiLevelType w:val="singleLevel"/>
    <w:tmpl w:val="F958ED95"/>
    <w:lvl w:ilvl="0" w:tentative="0">
      <w:start w:val="1"/>
      <w:numFmt w:val="chineseCounting"/>
      <w:suff w:val="nothing"/>
      <w:lvlText w:val="%1、"/>
      <w:lvlJc w:val="left"/>
      <w:rPr>
        <w:rFonts w:hint="eastAsia"/>
      </w:rPr>
    </w:lvl>
  </w:abstractNum>
  <w:abstractNum w:abstractNumId="1">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4">
    <w:nsid w:val="617D4F08"/>
    <w:multiLevelType w:val="singleLevel"/>
    <w:tmpl w:val="617D4F08"/>
    <w:lvl w:ilvl="0" w:tentative="0">
      <w:start w:val="1"/>
      <w:numFmt w:val="chineseCounting"/>
      <w:suff w:val="nothing"/>
      <w:lvlText w:val="（%1）"/>
      <w:lvlJc w:val="left"/>
      <w:rPr>
        <w:rFonts w:hint="eastAsia"/>
      </w:rPr>
    </w:lvl>
  </w:abstractNum>
  <w:abstractNum w:abstractNumId="5">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lODRlM2JmYmJhMWFjZWE2NTlmMDQ1NGQ0YmIxMWYifQ=="/>
  </w:docVars>
  <w:rsids>
    <w:rsidRoot w:val="00511FDF"/>
    <w:rsid w:val="0004409E"/>
    <w:rsid w:val="0022070D"/>
    <w:rsid w:val="002C1C96"/>
    <w:rsid w:val="0030200C"/>
    <w:rsid w:val="00511FDF"/>
    <w:rsid w:val="00541AF7"/>
    <w:rsid w:val="005E1440"/>
    <w:rsid w:val="006D38E5"/>
    <w:rsid w:val="006F4B3D"/>
    <w:rsid w:val="00D52346"/>
    <w:rsid w:val="00EF2BFE"/>
    <w:rsid w:val="085D79D2"/>
    <w:rsid w:val="0BA33204"/>
    <w:rsid w:val="0BDA3276"/>
    <w:rsid w:val="177C6A6A"/>
    <w:rsid w:val="17845931"/>
    <w:rsid w:val="186618FA"/>
    <w:rsid w:val="1E337688"/>
    <w:rsid w:val="1FC469CA"/>
    <w:rsid w:val="25095908"/>
    <w:rsid w:val="26DD5AEF"/>
    <w:rsid w:val="2F185712"/>
    <w:rsid w:val="36BF7EC2"/>
    <w:rsid w:val="4C2061DD"/>
    <w:rsid w:val="50A209BF"/>
    <w:rsid w:val="606C2774"/>
    <w:rsid w:val="6B0D318F"/>
    <w:rsid w:val="710B4B90"/>
    <w:rsid w:val="714665C4"/>
    <w:rsid w:val="78794DF8"/>
    <w:rsid w:val="790003CC"/>
    <w:rsid w:val="7A451588"/>
    <w:rsid w:val="7E48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link w:val="50"/>
    <w:qFormat/>
    <w:uiPriority w:val="0"/>
    <w:pPr>
      <w:keepNext/>
      <w:keepLines/>
      <w:spacing w:line="520" w:lineRule="exact"/>
      <w:jc w:val="center"/>
      <w:outlineLvl w:val="1"/>
    </w:pPr>
    <w:rPr>
      <w:rFonts w:ascii="宋体" w:hAnsi="宋体"/>
      <w:b/>
      <w:bCs/>
      <w:sz w:val="24"/>
    </w:rPr>
  </w:style>
  <w:style w:type="paragraph" w:styleId="5">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6">
    <w:name w:val="heading 4"/>
    <w:basedOn w:val="1"/>
    <w:next w:val="1"/>
    <w:link w:val="52"/>
    <w:qFormat/>
    <w:uiPriority w:val="0"/>
    <w:pPr>
      <w:keepNext/>
      <w:keepLines/>
      <w:spacing w:line="300" w:lineRule="auto"/>
      <w:outlineLvl w:val="3"/>
    </w:pPr>
    <w:rPr>
      <w:rFonts w:ascii="Arial" w:hAnsi="Arial"/>
      <w:bCs/>
      <w:sz w:val="24"/>
      <w:szCs w:val="28"/>
    </w:rPr>
  </w:style>
  <w:style w:type="paragraph" w:styleId="7">
    <w:name w:val="heading 5"/>
    <w:basedOn w:val="1"/>
    <w:next w:val="1"/>
    <w:link w:val="53"/>
    <w:qFormat/>
    <w:uiPriority w:val="0"/>
    <w:pPr>
      <w:keepNext/>
      <w:keepLines/>
      <w:spacing w:before="280" w:after="290" w:line="376" w:lineRule="auto"/>
      <w:outlineLvl w:val="4"/>
    </w:pPr>
    <w:rPr>
      <w:b/>
      <w:bCs/>
      <w:sz w:val="28"/>
      <w:szCs w:val="28"/>
    </w:rPr>
  </w:style>
  <w:style w:type="paragraph" w:styleId="8">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5"/>
    <w:qFormat/>
    <w:uiPriority w:val="0"/>
    <w:pPr>
      <w:keepNext/>
      <w:keepLines/>
      <w:spacing w:before="240" w:after="64" w:line="320" w:lineRule="auto"/>
      <w:outlineLvl w:val="6"/>
    </w:pPr>
    <w:rPr>
      <w:b/>
      <w:bCs/>
      <w:sz w:val="24"/>
    </w:rPr>
  </w:style>
  <w:style w:type="paragraph" w:styleId="10">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2">
    <w:name w:val="Body Text"/>
    <w:basedOn w:val="1"/>
    <w:link w:val="58"/>
    <w:qFormat/>
    <w:uiPriority w:val="0"/>
    <w:rPr>
      <w:rFonts w:asciiTheme="minorHAnsi" w:hAnsiTheme="minorHAnsi" w:eastAsiaTheme="minorEastAsia" w:cstheme="minorBidi"/>
      <w:sz w:val="24"/>
    </w:rPr>
  </w:style>
  <w:style w:type="paragraph" w:styleId="12">
    <w:name w:val="toc 7"/>
    <w:basedOn w:val="1"/>
    <w:next w:val="1"/>
    <w:qFormat/>
    <w:uiPriority w:val="39"/>
    <w:pPr>
      <w:ind w:left="1260"/>
      <w:jc w:val="left"/>
    </w:pPr>
    <w:rPr>
      <w:szCs w:val="21"/>
    </w:rPr>
  </w:style>
  <w:style w:type="paragraph" w:styleId="13">
    <w:name w:val="Normal Indent"/>
    <w:basedOn w:val="1"/>
    <w:qFormat/>
    <w:uiPriority w:val="0"/>
    <w:pPr>
      <w:spacing w:line="360" w:lineRule="auto"/>
      <w:ind w:left="420" w:firstLine="420"/>
    </w:pPr>
    <w:rPr>
      <w:szCs w:val="20"/>
    </w:rPr>
  </w:style>
  <w:style w:type="paragraph" w:styleId="14">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5">
    <w:name w:val="annotation text"/>
    <w:basedOn w:val="1"/>
    <w:link w:val="62"/>
    <w:semiHidden/>
    <w:qFormat/>
    <w:uiPriority w:val="99"/>
    <w:pPr>
      <w:jc w:val="left"/>
    </w:pPr>
    <w:rPr>
      <w:rFonts w:asciiTheme="minorHAnsi" w:hAnsiTheme="minorHAnsi" w:eastAsiaTheme="minorEastAsia" w:cstheme="minorBidi"/>
    </w:rPr>
  </w:style>
  <w:style w:type="paragraph" w:styleId="16">
    <w:name w:val="Body Text 3"/>
    <w:basedOn w:val="1"/>
    <w:link w:val="107"/>
    <w:qFormat/>
    <w:uiPriority w:val="0"/>
    <w:rPr>
      <w:color w:val="FF00FF"/>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qFormat/>
    <w:uiPriority w:val="39"/>
    <w:pPr>
      <w:ind w:left="840"/>
      <w:jc w:val="left"/>
    </w:pPr>
    <w:rPr>
      <w:szCs w:val="21"/>
    </w:rPr>
  </w:style>
  <w:style w:type="paragraph" w:styleId="19">
    <w:name w:val="toc 3"/>
    <w:basedOn w:val="1"/>
    <w:next w:val="1"/>
    <w:qFormat/>
    <w:uiPriority w:val="39"/>
    <w:pPr>
      <w:tabs>
        <w:tab w:val="left" w:pos="840"/>
        <w:tab w:val="right" w:leader="dot" w:pos="9062"/>
      </w:tabs>
      <w:ind w:left="420"/>
      <w:jc w:val="left"/>
    </w:pPr>
    <w:rPr>
      <w:rFonts w:hAnsi="宋体" w:cs="Arial"/>
      <w:sz w:val="24"/>
    </w:rPr>
  </w:style>
  <w:style w:type="paragraph" w:styleId="20">
    <w:name w:val="Plain Text"/>
    <w:basedOn w:val="1"/>
    <w:link w:val="84"/>
    <w:qFormat/>
    <w:uiPriority w:val="0"/>
    <w:rPr>
      <w:rFonts w:ascii="宋体" w:hAnsi="Courier New"/>
      <w:kern w:val="10"/>
      <w:szCs w:val="21"/>
    </w:rPr>
  </w:style>
  <w:style w:type="paragraph" w:styleId="21">
    <w:name w:val="toc 8"/>
    <w:basedOn w:val="1"/>
    <w:next w:val="1"/>
    <w:qFormat/>
    <w:uiPriority w:val="39"/>
    <w:pPr>
      <w:ind w:left="1470"/>
      <w:jc w:val="left"/>
    </w:pPr>
    <w:rPr>
      <w:szCs w:val="21"/>
    </w:rPr>
  </w:style>
  <w:style w:type="paragraph" w:styleId="22">
    <w:name w:val="Date"/>
    <w:basedOn w:val="1"/>
    <w:next w:val="1"/>
    <w:link w:val="71"/>
    <w:qFormat/>
    <w:uiPriority w:val="0"/>
    <w:pPr>
      <w:ind w:left="100" w:leftChars="2500"/>
    </w:pPr>
    <w:rPr>
      <w:color w:val="0000FF"/>
      <w:sz w:val="24"/>
    </w:rPr>
  </w:style>
  <w:style w:type="paragraph" w:styleId="23">
    <w:name w:val="Body Text Indent 2"/>
    <w:basedOn w:val="1"/>
    <w:link w:val="73"/>
    <w:qFormat/>
    <w:uiPriority w:val="0"/>
    <w:pPr>
      <w:ind w:left="899" w:leftChars="428" w:firstLine="456" w:firstLineChars="217"/>
    </w:pPr>
  </w:style>
  <w:style w:type="paragraph" w:styleId="24">
    <w:name w:val="Balloon Text"/>
    <w:basedOn w:val="1"/>
    <w:link w:val="60"/>
    <w:semiHidden/>
    <w:qFormat/>
    <w:uiPriority w:val="99"/>
    <w:rPr>
      <w:rFonts w:asciiTheme="minorHAnsi" w:hAnsiTheme="minorHAnsi" w:eastAsiaTheme="minorEastAsia" w:cstheme="minorBidi"/>
      <w:sz w:val="18"/>
      <w:szCs w:val="18"/>
    </w:rPr>
  </w:style>
  <w:style w:type="paragraph" w:styleId="25">
    <w:name w:val="footer"/>
    <w:basedOn w:val="1"/>
    <w:link w:val="48"/>
    <w:unhideWhenUsed/>
    <w:qFormat/>
    <w:uiPriority w:val="99"/>
    <w:pPr>
      <w:tabs>
        <w:tab w:val="center" w:pos="4153"/>
        <w:tab w:val="right" w:pos="8306"/>
      </w:tabs>
      <w:snapToGrid w:val="0"/>
      <w:jc w:val="left"/>
    </w:pPr>
    <w:rPr>
      <w:sz w:val="18"/>
      <w:szCs w:val="18"/>
    </w:rPr>
  </w:style>
  <w:style w:type="paragraph" w:styleId="26">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qFormat/>
    <w:uiPriority w:val="39"/>
    <w:pPr>
      <w:ind w:left="630"/>
      <w:jc w:val="left"/>
    </w:pPr>
    <w:rPr>
      <w:szCs w:val="21"/>
    </w:rPr>
  </w:style>
  <w:style w:type="paragraph" w:styleId="29">
    <w:name w:val="toc 6"/>
    <w:basedOn w:val="1"/>
    <w:next w:val="1"/>
    <w:qFormat/>
    <w:uiPriority w:val="39"/>
    <w:pPr>
      <w:ind w:left="1050"/>
      <w:jc w:val="left"/>
    </w:pPr>
    <w:rPr>
      <w:szCs w:val="21"/>
    </w:rPr>
  </w:style>
  <w:style w:type="paragraph" w:styleId="30">
    <w:name w:val="Body Text Indent 3"/>
    <w:basedOn w:val="1"/>
    <w:link w:val="63"/>
    <w:qFormat/>
    <w:uiPriority w:val="0"/>
    <w:pPr>
      <w:ind w:left="899" w:leftChars="428" w:firstLine="458" w:firstLineChars="218"/>
    </w:pPr>
  </w:style>
  <w:style w:type="paragraph" w:styleId="31">
    <w:name w:val="table of figures"/>
    <w:basedOn w:val="1"/>
    <w:next w:val="1"/>
    <w:semiHidden/>
    <w:qFormat/>
    <w:uiPriority w:val="0"/>
    <w:pPr>
      <w:ind w:left="840" w:leftChars="200" w:hanging="420" w:hangingChars="200"/>
    </w:pPr>
  </w:style>
  <w:style w:type="paragraph" w:styleId="32">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qFormat/>
    <w:uiPriority w:val="39"/>
    <w:pPr>
      <w:ind w:left="1680"/>
      <w:jc w:val="left"/>
    </w:pPr>
    <w:rPr>
      <w:szCs w:val="21"/>
    </w:rPr>
  </w:style>
  <w:style w:type="paragraph" w:styleId="34">
    <w:name w:val="Body Text 2"/>
    <w:basedOn w:val="1"/>
    <w:link w:val="69"/>
    <w:qFormat/>
    <w:uiPriority w:val="0"/>
    <w:rPr>
      <w:color w:val="FF0000"/>
      <w:sz w:val="24"/>
    </w:rPr>
  </w:style>
  <w:style w:type="paragraph" w:styleId="35">
    <w:name w:val="Message Header"/>
    <w:basedOn w:val="1"/>
    <w:link w:val="11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5"/>
    <w:next w:val="15"/>
    <w:link w:val="106"/>
    <w:semiHidden/>
    <w:qFormat/>
    <w:uiPriority w:val="0"/>
    <w:rPr>
      <w:b/>
      <w:bCs/>
    </w:rPr>
  </w:style>
  <w:style w:type="table" w:styleId="39">
    <w:name w:val="Table Grid"/>
    <w:basedOn w:val="38"/>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rPr>
      <w:sz w:val="18"/>
      <w:szCs w:val="18"/>
    </w:rPr>
  </w:style>
  <w:style w:type="character" w:styleId="43">
    <w:name w:val="FollowedHyperlink"/>
    <w:qFormat/>
    <w:uiPriority w:val="0"/>
    <w:rPr>
      <w:color w:val="800080"/>
      <w:u w:val="single"/>
    </w:rPr>
  </w:style>
  <w:style w:type="character" w:styleId="44">
    <w:name w:val="Emphasis"/>
    <w:qFormat/>
    <w:uiPriority w:val="99"/>
    <w:rPr>
      <w:rFonts w:cs="Times New Roman"/>
      <w:i/>
    </w:rPr>
  </w:style>
  <w:style w:type="character" w:styleId="45">
    <w:name w:val="Hyperlink"/>
    <w:qFormat/>
    <w:uiPriority w:val="99"/>
    <w:rPr>
      <w:color w:val="0000FF"/>
      <w:u w:val="single"/>
    </w:rPr>
  </w:style>
  <w:style w:type="character" w:styleId="46">
    <w:name w:val="annotation reference"/>
    <w:semiHidden/>
    <w:qFormat/>
    <w:uiPriority w:val="0"/>
    <w:rPr>
      <w:sz w:val="21"/>
      <w:szCs w:val="21"/>
    </w:rPr>
  </w:style>
  <w:style w:type="character" w:customStyle="1" w:styleId="47">
    <w:name w:val="页眉 字符"/>
    <w:basedOn w:val="40"/>
    <w:link w:val="26"/>
    <w:qFormat/>
    <w:uiPriority w:val="99"/>
    <w:rPr>
      <w:sz w:val="18"/>
      <w:szCs w:val="18"/>
    </w:rPr>
  </w:style>
  <w:style w:type="character" w:customStyle="1" w:styleId="48">
    <w:name w:val="页脚 字符"/>
    <w:basedOn w:val="40"/>
    <w:link w:val="25"/>
    <w:qFormat/>
    <w:uiPriority w:val="99"/>
    <w:rPr>
      <w:sz w:val="18"/>
      <w:szCs w:val="18"/>
    </w:rPr>
  </w:style>
  <w:style w:type="character" w:customStyle="1" w:styleId="49">
    <w:name w:val="标题 1 字符"/>
    <w:basedOn w:val="40"/>
    <w:link w:val="3"/>
    <w:qFormat/>
    <w:uiPriority w:val="0"/>
    <w:rPr>
      <w:rFonts w:ascii="Calibri" w:hAnsi="Calibri" w:eastAsia="宋体" w:cs="Times New Roman"/>
      <w:b/>
      <w:bCs/>
      <w:kern w:val="44"/>
      <w:sz w:val="32"/>
      <w:szCs w:val="32"/>
    </w:rPr>
  </w:style>
  <w:style w:type="character" w:customStyle="1" w:styleId="50">
    <w:name w:val="标题 2 字符"/>
    <w:basedOn w:val="40"/>
    <w:link w:val="4"/>
    <w:qFormat/>
    <w:uiPriority w:val="0"/>
    <w:rPr>
      <w:rFonts w:ascii="宋体" w:hAnsi="宋体" w:eastAsia="宋体" w:cs="Times New Roman"/>
      <w:b/>
      <w:bCs/>
      <w:sz w:val="24"/>
      <w:szCs w:val="24"/>
    </w:rPr>
  </w:style>
  <w:style w:type="character" w:customStyle="1" w:styleId="51">
    <w:name w:val="标题 3 字符"/>
    <w:basedOn w:val="40"/>
    <w:link w:val="5"/>
    <w:qFormat/>
    <w:uiPriority w:val="0"/>
    <w:rPr>
      <w:rFonts w:ascii="宋体" w:hAnsi="Calibri" w:eastAsia="宋体" w:cs="Times New Roman"/>
      <w:b/>
      <w:bCs/>
      <w:sz w:val="24"/>
      <w:szCs w:val="32"/>
    </w:rPr>
  </w:style>
  <w:style w:type="character" w:customStyle="1" w:styleId="52">
    <w:name w:val="标题 4 字符"/>
    <w:basedOn w:val="40"/>
    <w:link w:val="6"/>
    <w:qFormat/>
    <w:uiPriority w:val="0"/>
    <w:rPr>
      <w:rFonts w:ascii="Arial" w:hAnsi="Arial" w:eastAsia="宋体" w:cs="Times New Roman"/>
      <w:bCs/>
      <w:sz w:val="24"/>
      <w:szCs w:val="28"/>
    </w:rPr>
  </w:style>
  <w:style w:type="character" w:customStyle="1" w:styleId="53">
    <w:name w:val="标题 5 字符"/>
    <w:basedOn w:val="40"/>
    <w:link w:val="7"/>
    <w:qFormat/>
    <w:uiPriority w:val="0"/>
    <w:rPr>
      <w:rFonts w:ascii="Calibri" w:hAnsi="Calibri" w:eastAsia="宋体" w:cs="Times New Roman"/>
      <w:b/>
      <w:bCs/>
      <w:sz w:val="28"/>
      <w:szCs w:val="28"/>
    </w:rPr>
  </w:style>
  <w:style w:type="character" w:customStyle="1" w:styleId="54">
    <w:name w:val="标题 6 字符"/>
    <w:basedOn w:val="40"/>
    <w:link w:val="8"/>
    <w:qFormat/>
    <w:uiPriority w:val="0"/>
    <w:rPr>
      <w:rFonts w:ascii="Arial" w:hAnsi="Arial" w:eastAsia="黑体" w:cs="Times New Roman"/>
      <w:b/>
      <w:bCs/>
      <w:sz w:val="24"/>
      <w:szCs w:val="24"/>
    </w:rPr>
  </w:style>
  <w:style w:type="character" w:customStyle="1" w:styleId="55">
    <w:name w:val="标题 7 字符"/>
    <w:basedOn w:val="40"/>
    <w:link w:val="9"/>
    <w:qFormat/>
    <w:uiPriority w:val="0"/>
    <w:rPr>
      <w:rFonts w:ascii="Calibri" w:hAnsi="Calibri" w:eastAsia="宋体" w:cs="Times New Roman"/>
      <w:b/>
      <w:bCs/>
      <w:sz w:val="24"/>
      <w:szCs w:val="24"/>
    </w:rPr>
  </w:style>
  <w:style w:type="character" w:customStyle="1" w:styleId="56">
    <w:name w:val="标题 8 字符"/>
    <w:basedOn w:val="40"/>
    <w:link w:val="10"/>
    <w:qFormat/>
    <w:uiPriority w:val="0"/>
    <w:rPr>
      <w:rFonts w:ascii="Arial" w:hAnsi="Arial" w:eastAsia="黑体" w:cs="Times New Roman"/>
      <w:sz w:val="24"/>
      <w:szCs w:val="24"/>
    </w:rPr>
  </w:style>
  <w:style w:type="character" w:customStyle="1" w:styleId="57">
    <w:name w:val="标题 9 字符"/>
    <w:basedOn w:val="40"/>
    <w:link w:val="11"/>
    <w:qFormat/>
    <w:uiPriority w:val="0"/>
    <w:rPr>
      <w:rFonts w:ascii="Arial" w:hAnsi="Arial" w:eastAsia="黑体" w:cs="Times New Roman"/>
      <w:szCs w:val="21"/>
    </w:rPr>
  </w:style>
  <w:style w:type="character" w:customStyle="1" w:styleId="58">
    <w:name w:val="正文文本 字符"/>
    <w:link w:val="2"/>
    <w:qFormat/>
    <w:uiPriority w:val="0"/>
    <w:rPr>
      <w:sz w:val="24"/>
      <w:szCs w:val="24"/>
    </w:rPr>
  </w:style>
  <w:style w:type="character" w:customStyle="1" w:styleId="59">
    <w:name w:val="p141"/>
    <w:qFormat/>
    <w:uiPriority w:val="0"/>
    <w:rPr>
      <w:sz w:val="21"/>
      <w:szCs w:val="21"/>
    </w:rPr>
  </w:style>
  <w:style w:type="character" w:customStyle="1" w:styleId="60">
    <w:name w:val="批注框文本 字符"/>
    <w:link w:val="24"/>
    <w:semiHidden/>
    <w:qFormat/>
    <w:uiPriority w:val="99"/>
    <w:rPr>
      <w:sz w:val="18"/>
      <w:szCs w:val="18"/>
    </w:rPr>
  </w:style>
  <w:style w:type="character" w:customStyle="1" w:styleId="61">
    <w:name w:val="文档结构图 字符"/>
    <w:link w:val="14"/>
    <w:semiHidden/>
    <w:qFormat/>
    <w:uiPriority w:val="99"/>
    <w:rPr>
      <w:szCs w:val="24"/>
      <w:shd w:val="clear" w:color="auto" w:fill="000080"/>
    </w:rPr>
  </w:style>
  <w:style w:type="character" w:customStyle="1" w:styleId="62">
    <w:name w:val="批注文字 字符"/>
    <w:link w:val="15"/>
    <w:semiHidden/>
    <w:qFormat/>
    <w:uiPriority w:val="99"/>
    <w:rPr>
      <w:szCs w:val="24"/>
    </w:rPr>
  </w:style>
  <w:style w:type="character" w:customStyle="1" w:styleId="63">
    <w:name w:val="正文文本缩进 3 字符"/>
    <w:basedOn w:val="40"/>
    <w:link w:val="30"/>
    <w:qFormat/>
    <w:uiPriority w:val="0"/>
    <w:rPr>
      <w:rFonts w:ascii="Calibri" w:hAnsi="Calibri" w:eastAsia="宋体" w:cs="Times New Roman"/>
      <w:szCs w:val="24"/>
    </w:rPr>
  </w:style>
  <w:style w:type="paragraph" w:customStyle="1" w:styleId="64">
    <w:name w:val="项目符合2"/>
    <w:basedOn w:val="1"/>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qFormat/>
    <w:uiPriority w:val="0"/>
    <w:rPr>
      <w:rFonts w:ascii="Calibri" w:hAnsi="Calibri" w:eastAsia="宋体" w:cs="Times New Roman"/>
      <w:color w:val="FF0000"/>
      <w:sz w:val="24"/>
      <w:szCs w:val="24"/>
    </w:rPr>
  </w:style>
  <w:style w:type="paragraph" w:customStyle="1" w:styleId="7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qFormat/>
    <w:uiPriority w:val="0"/>
    <w:rPr>
      <w:rFonts w:ascii="Calibri" w:hAnsi="Calibri" w:eastAsia="宋体" w:cs="Times New Roman"/>
      <w:color w:val="0000FF"/>
      <w:sz w:val="24"/>
      <w:szCs w:val="24"/>
    </w:rPr>
  </w:style>
  <w:style w:type="paragraph" w:customStyle="1" w:styleId="72">
    <w:name w:val="标题 51"/>
    <w:basedOn w:val="1"/>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qFormat/>
    <w:uiPriority w:val="0"/>
    <w:rPr>
      <w:rFonts w:ascii="Calibri" w:hAnsi="Calibri" w:eastAsia="宋体" w:cs="Times New Roman"/>
      <w:szCs w:val="24"/>
    </w:rPr>
  </w:style>
  <w:style w:type="paragraph" w:customStyle="1" w:styleId="7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qFormat/>
    <w:uiPriority w:val="1"/>
    <w:pPr>
      <w:jc w:val="left"/>
    </w:pPr>
    <w:rPr>
      <w:kern w:val="0"/>
      <w:sz w:val="22"/>
      <w:szCs w:val="22"/>
      <w:lang w:eastAsia="en-US"/>
    </w:rPr>
  </w:style>
  <w:style w:type="paragraph" w:customStyle="1" w:styleId="80">
    <w:name w:val="标题 41"/>
    <w:basedOn w:val="1"/>
    <w:qFormat/>
    <w:uiPriority w:val="1"/>
    <w:pPr>
      <w:ind w:left="149"/>
      <w:jc w:val="left"/>
      <w:outlineLvl w:val="4"/>
    </w:pPr>
    <w:rPr>
      <w:rFonts w:ascii="宋体" w:hAnsi="宋体"/>
      <w:kern w:val="0"/>
      <w:sz w:val="24"/>
      <w:lang w:eastAsia="en-US"/>
    </w:rPr>
  </w:style>
  <w:style w:type="paragraph" w:customStyle="1" w:styleId="81">
    <w:name w:val="xiao b"/>
    <w:basedOn w:val="1"/>
    <w:qFormat/>
    <w:uiPriority w:val="0"/>
    <w:pPr>
      <w:jc w:val="center"/>
    </w:pPr>
    <w:rPr>
      <w:rFonts w:eastAsia="黑体"/>
      <w:sz w:val="24"/>
      <w:szCs w:val="20"/>
    </w:rPr>
  </w:style>
  <w:style w:type="paragraph" w:customStyle="1" w:styleId="82">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semiHidden/>
    <w:qFormat/>
    <w:uiPriority w:val="99"/>
    <w:rPr>
      <w:rFonts w:ascii="Calibri" w:hAnsi="Calibri" w:eastAsia="宋体" w:cs="Times New Roman"/>
      <w:sz w:val="18"/>
      <w:szCs w:val="18"/>
    </w:rPr>
  </w:style>
  <w:style w:type="character" w:customStyle="1" w:styleId="84">
    <w:name w:val="纯文本 字符"/>
    <w:basedOn w:val="40"/>
    <w:link w:val="20"/>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qFormat/>
    <w:uiPriority w:val="1"/>
    <w:pPr>
      <w:jc w:val="left"/>
      <w:outlineLvl w:val="1"/>
    </w:pPr>
    <w:rPr>
      <w:rFonts w:ascii="黑体" w:hAnsi="黑体" w:eastAsia="黑体"/>
      <w:kern w:val="0"/>
      <w:sz w:val="52"/>
      <w:szCs w:val="52"/>
      <w:lang w:eastAsia="en-US"/>
    </w:rPr>
  </w:style>
  <w:style w:type="paragraph" w:customStyle="1" w:styleId="8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qFormat/>
    <w:uiPriority w:val="0"/>
    <w:pPr>
      <w:tabs>
        <w:tab w:val="left" w:pos="1260"/>
      </w:tabs>
      <w:ind w:left="1260" w:hanging="420"/>
    </w:pPr>
    <w:rPr>
      <w:sz w:val="24"/>
    </w:rPr>
  </w:style>
  <w:style w:type="paragraph" w:customStyle="1" w:styleId="90">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semiHidden/>
    <w:qFormat/>
    <w:uiPriority w:val="99"/>
    <w:rPr>
      <w:rFonts w:ascii="Calibri" w:hAnsi="Calibri" w:eastAsia="宋体" w:cs="Times New Roman"/>
      <w:sz w:val="18"/>
      <w:szCs w:val="18"/>
    </w:rPr>
  </w:style>
  <w:style w:type="paragraph" w:customStyle="1" w:styleId="93">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semiHidden/>
    <w:qFormat/>
    <w:uiPriority w:val="99"/>
    <w:rPr>
      <w:rFonts w:ascii="Microsoft YaHei UI" w:hAnsi="Calibri" w:eastAsia="Microsoft YaHei UI" w:cs="Times New Roman"/>
      <w:sz w:val="18"/>
      <w:szCs w:val="18"/>
    </w:rPr>
  </w:style>
  <w:style w:type="paragraph" w:customStyle="1" w:styleId="100">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semiHidden/>
    <w:qFormat/>
    <w:uiPriority w:val="99"/>
    <w:rPr>
      <w:rFonts w:ascii="Calibri" w:hAnsi="Calibri" w:eastAsia="宋体" w:cs="Times New Roman"/>
      <w:szCs w:val="24"/>
    </w:rPr>
  </w:style>
  <w:style w:type="character" w:customStyle="1" w:styleId="103">
    <w:name w:val="正文文本 字符1"/>
    <w:basedOn w:val="40"/>
    <w:semiHidden/>
    <w:qFormat/>
    <w:uiPriority w:val="99"/>
    <w:rPr>
      <w:rFonts w:ascii="Calibri" w:hAnsi="Calibri" w:eastAsia="宋体" w:cs="Times New Roman"/>
      <w:szCs w:val="24"/>
    </w:rPr>
  </w:style>
  <w:style w:type="paragraph" w:customStyle="1" w:styleId="1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semiHidden/>
    <w:qFormat/>
    <w:uiPriority w:val="0"/>
    <w:rPr>
      <w:rFonts w:ascii="Calibri" w:hAnsi="Calibri" w:eastAsia="宋体" w:cs="Times New Roman"/>
      <w:b/>
      <w:bCs/>
      <w:szCs w:val="24"/>
    </w:rPr>
  </w:style>
  <w:style w:type="character" w:customStyle="1" w:styleId="107">
    <w:name w:val="正文文本 3 字符"/>
    <w:basedOn w:val="40"/>
    <w:link w:val="16"/>
    <w:qFormat/>
    <w:uiPriority w:val="0"/>
    <w:rPr>
      <w:rFonts w:ascii="Calibri" w:hAnsi="Calibri" w:eastAsia="宋体" w:cs="Times New Roman"/>
      <w:color w:val="FF00FF"/>
      <w:szCs w:val="24"/>
    </w:rPr>
  </w:style>
  <w:style w:type="paragraph" w:customStyle="1" w:styleId="108">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5"/>
    <w:qFormat/>
    <w:uiPriority w:val="0"/>
    <w:pPr>
      <w:numPr>
        <w:ilvl w:val="0"/>
        <w:numId w:val="2"/>
      </w:numPr>
      <w:spacing w:line="560" w:lineRule="exact"/>
    </w:pPr>
    <w:rPr>
      <w:rFonts w:hAnsi="宋体" w:cs="Arial"/>
      <w:kern w:val="0"/>
    </w:rPr>
  </w:style>
  <w:style w:type="paragraph" w:customStyle="1" w:styleId="11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qFormat/>
    <w:uiPriority w:val="0"/>
    <w:rPr>
      <w:rFonts w:ascii="Arial" w:hAnsi="Arial" w:eastAsia="宋体" w:cs="Arial"/>
      <w:sz w:val="24"/>
      <w:szCs w:val="24"/>
      <w:shd w:val="pct20" w:color="auto" w:fill="auto"/>
    </w:rPr>
  </w:style>
  <w:style w:type="paragraph" w:styleId="114">
    <w:name w:val="List Paragraph"/>
    <w:basedOn w:val="1"/>
    <w:qFormat/>
    <w:uiPriority w:val="34"/>
    <w:pPr>
      <w:ind w:firstLine="420" w:firstLineChars="200"/>
    </w:pPr>
  </w:style>
  <w:style w:type="paragraph" w:customStyle="1" w:styleId="115">
    <w:name w:val="正文2"/>
    <w:basedOn w:val="2"/>
    <w:qFormat/>
    <w:uiPriority w:val="0"/>
    <w:pPr>
      <w:spacing w:line="360" w:lineRule="auto"/>
      <w:ind w:firstLine="480" w:firstLineChars="200"/>
    </w:pPr>
    <w:rPr>
      <w:rFonts w:ascii="宋体"/>
    </w:rPr>
  </w:style>
  <w:style w:type="character" w:customStyle="1" w:styleId="116">
    <w:name w:val="正文文本缩进 字符"/>
    <w:basedOn w:val="40"/>
    <w:link w:val="17"/>
    <w:qFormat/>
    <w:uiPriority w:val="0"/>
    <w:rPr>
      <w:rFonts w:ascii="宋体" w:hAnsi="宋体" w:eastAsia="宋体" w:cs="Times New Roman"/>
      <w:sz w:val="24"/>
      <w:szCs w:val="24"/>
    </w:rPr>
  </w:style>
  <w:style w:type="paragraph" w:customStyle="1" w:styleId="117">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semiHidden/>
    <w:qFormat/>
    <w:uiPriority w:val="99"/>
    <w:rPr>
      <w:rFonts w:ascii="Calibri" w:hAnsi="Calibri" w:eastAsia="宋体" w:cs="Times New Roman"/>
      <w:sz w:val="18"/>
      <w:szCs w:val="18"/>
    </w:rPr>
  </w:style>
  <w:style w:type="paragraph" w:customStyle="1" w:styleId="12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2"/>
    <w:qFormat/>
    <w:uiPriority w:val="0"/>
    <w:rPr>
      <w:sz w:val="24"/>
    </w:rPr>
  </w:style>
  <w:style w:type="paragraph" w:customStyle="1" w:styleId="138">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4"/>
    <w:qFormat/>
    <w:uiPriority w:val="0"/>
    <w:pPr>
      <w:numPr>
        <w:ilvl w:val="0"/>
        <w:numId w:val="3"/>
      </w:numPr>
      <w:spacing w:line="500" w:lineRule="exact"/>
      <w:jc w:val="both"/>
    </w:pPr>
    <w:rPr>
      <w:color w:val="000000"/>
    </w:rPr>
  </w:style>
  <w:style w:type="paragraph" w:customStyle="1" w:styleId="143">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unhideWhenUsed/>
    <w:qFormat/>
    <w:uiPriority w:val="2"/>
    <w:pPr>
      <w:widowControl w:val="0"/>
    </w:pPr>
    <w:rPr>
      <w:rFonts w:ascii="Calibri" w:hAnsi="Calibri" w:eastAsia="宋体" w:cs="Times New Roman"/>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8026</Words>
  <Characters>8334</Characters>
  <Lines>68</Lines>
  <Paragraphs>19</Paragraphs>
  <TotalTime>21</TotalTime>
  <ScaleCrop>false</ScaleCrop>
  <LinksUpToDate>false</LinksUpToDate>
  <CharactersWithSpaces>8945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2020-07-16T09:42:00Z</dcterms:created>
  <dc:creator>Administrator</dc:creator>
  <cp:lastModifiedBy>Administrator</cp:lastModifiedBy>
  <dcterms:modified xsi:type="dcterms:W3CDTF">2023-04-25T00:23:45Z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8491B5303FE04BA99F15AAE22B1B811A</vt:lpwstr>
  </property>
</Properties>
</file>